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600" w:lineRule="exact"/>
        <w:jc w:val="center"/>
        <w:rPr>
          <w:rFonts w:hint="eastAsia" w:ascii="宋体" w:hAnsi="宋体" w:eastAsia="宋体" w:cs="宋体"/>
          <w:b/>
          <w:bCs/>
          <w:sz w:val="44"/>
          <w:szCs w:val="44"/>
        </w:rPr>
      </w:pPr>
    </w:p>
    <w:p>
      <w:pPr>
        <w:spacing w:before="156" w:beforeLines="50" w:line="600" w:lineRule="exact"/>
        <w:jc w:val="center"/>
        <w:rPr>
          <w:rFonts w:hint="eastAsia" w:ascii="宋体" w:hAnsi="宋体" w:eastAsia="宋体" w:cs="宋体"/>
          <w:b/>
          <w:bCs/>
          <w:sz w:val="44"/>
          <w:szCs w:val="44"/>
        </w:rPr>
      </w:pPr>
    </w:p>
    <w:p>
      <w:pPr>
        <w:spacing w:before="156" w:beforeLines="50" w:line="600" w:lineRule="exact"/>
        <w:jc w:val="center"/>
        <w:rPr>
          <w:rFonts w:hint="eastAsia" w:ascii="宋体" w:hAnsi="宋体" w:eastAsia="宋体" w:cs="宋体"/>
          <w:b/>
          <w:bCs/>
          <w:sz w:val="44"/>
          <w:szCs w:val="44"/>
        </w:rPr>
      </w:pPr>
      <w:r>
        <w:rPr>
          <w:rFonts w:hint="eastAsia" w:ascii="宋体" w:hAnsi="宋体" w:eastAsia="宋体" w:cs="宋体"/>
          <w:b/>
          <w:bCs/>
          <w:sz w:val="44"/>
          <w:szCs w:val="44"/>
        </w:rPr>
        <w:t>江西乾照光电有限公司（氨回收装置）</w:t>
      </w:r>
    </w:p>
    <w:p>
      <w:pPr>
        <w:spacing w:before="156" w:beforeLines="50" w:line="600" w:lineRule="exact"/>
        <w:jc w:val="center"/>
        <w:rPr>
          <w:rFonts w:hint="eastAsia" w:ascii="宋体" w:hAnsi="宋体" w:eastAsia="宋体" w:cs="宋体"/>
          <w:b/>
          <w:bCs/>
          <w:sz w:val="52"/>
          <w:szCs w:val="52"/>
          <w:lang w:val="zh-CN"/>
        </w:rPr>
      </w:pPr>
    </w:p>
    <w:p>
      <w:pPr>
        <w:spacing w:before="156" w:beforeLines="50" w:line="600" w:lineRule="exact"/>
        <w:jc w:val="center"/>
        <w:rPr>
          <w:rFonts w:hint="eastAsia" w:ascii="黑体" w:hAnsi="黑体" w:eastAsia="黑体" w:cs="黑体"/>
          <w:b/>
          <w:bCs/>
          <w:sz w:val="48"/>
          <w:szCs w:val="48"/>
          <w:lang w:val="zh-CN"/>
        </w:rPr>
      </w:pPr>
      <w:r>
        <w:rPr>
          <w:rFonts w:hint="eastAsia" w:ascii="黑体" w:hAnsi="黑体" w:eastAsia="黑体" w:cs="黑体"/>
          <w:b/>
          <w:bCs/>
          <w:sz w:val="52"/>
          <w:szCs w:val="52"/>
          <w:lang w:val="zh-CN"/>
        </w:rPr>
        <w:t>安全</w:t>
      </w:r>
      <w:r>
        <w:rPr>
          <w:rFonts w:hint="eastAsia" w:ascii="黑体" w:hAnsi="黑体" w:eastAsia="黑体" w:cs="黑体"/>
          <w:b/>
          <w:bCs/>
          <w:sz w:val="52"/>
          <w:szCs w:val="52"/>
        </w:rPr>
        <w:t>现状</w:t>
      </w:r>
      <w:r>
        <w:rPr>
          <w:rFonts w:hint="eastAsia" w:ascii="黑体" w:hAnsi="黑体" w:eastAsia="黑体" w:cs="黑体"/>
          <w:b/>
          <w:bCs/>
          <w:sz w:val="52"/>
          <w:szCs w:val="52"/>
          <w:lang w:val="zh-CN"/>
        </w:rPr>
        <w:t>评价报告</w:t>
      </w:r>
    </w:p>
    <w:p>
      <w:pPr>
        <w:ind w:firstLine="3596" w:firstLineChars="814"/>
        <w:rPr>
          <w:rFonts w:hint="eastAsia" w:ascii="宋体" w:hAnsi="宋体" w:eastAsia="宋体" w:cs="宋体"/>
          <w:b/>
          <w:bCs/>
          <w:sz w:val="44"/>
        </w:rPr>
      </w:pPr>
      <w:r>
        <w:rPr>
          <w:rFonts w:hint="eastAsia" w:ascii="宋体" w:hAnsi="宋体" w:eastAsia="宋体" w:cs="宋体"/>
          <w:b/>
          <w:bCs/>
          <w:sz w:val="44"/>
        </w:rPr>
        <w:t>（</w:t>
      </w:r>
      <w:r>
        <w:rPr>
          <w:rFonts w:hint="eastAsia" w:ascii="宋体" w:hAnsi="宋体" w:eastAsia="宋体" w:cs="宋体"/>
          <w:b/>
          <w:bCs/>
          <w:sz w:val="44"/>
          <w:lang w:eastAsia="zh-CN"/>
        </w:rPr>
        <w:t>终</w:t>
      </w:r>
      <w:r>
        <w:rPr>
          <w:rFonts w:hint="eastAsia" w:ascii="宋体" w:hAnsi="宋体" w:eastAsia="宋体" w:cs="宋体"/>
          <w:b/>
          <w:bCs/>
          <w:sz w:val="44"/>
        </w:rPr>
        <w:t>稿）</w:t>
      </w:r>
    </w:p>
    <w:p>
      <w:pPr>
        <w:ind w:firstLine="883"/>
        <w:jc w:val="center"/>
        <w:rPr>
          <w:rFonts w:hint="eastAsia" w:ascii="宋体" w:hAnsi="宋体" w:eastAsia="宋体" w:cs="宋体"/>
          <w:b/>
          <w:bCs/>
          <w:sz w:val="44"/>
        </w:rPr>
      </w:pPr>
    </w:p>
    <w:p>
      <w:pPr>
        <w:ind w:firstLine="883"/>
        <w:jc w:val="center"/>
        <w:rPr>
          <w:rFonts w:hint="eastAsia" w:ascii="宋体" w:hAnsi="宋体" w:eastAsia="宋体" w:cs="宋体"/>
          <w:b/>
          <w:bCs/>
          <w:sz w:val="44"/>
        </w:rPr>
      </w:pPr>
    </w:p>
    <w:p>
      <w:pPr>
        <w:ind w:firstLine="883"/>
        <w:jc w:val="center"/>
        <w:rPr>
          <w:rFonts w:hint="eastAsia" w:ascii="宋体" w:hAnsi="宋体" w:eastAsia="宋体" w:cs="宋体"/>
          <w:b/>
          <w:bCs/>
          <w:sz w:val="44"/>
        </w:rPr>
      </w:pPr>
    </w:p>
    <w:p>
      <w:pPr>
        <w:ind w:firstLine="883"/>
        <w:jc w:val="center"/>
        <w:rPr>
          <w:rFonts w:hint="eastAsia" w:ascii="宋体" w:hAnsi="宋体" w:eastAsia="宋体" w:cs="宋体"/>
          <w:b/>
          <w:bCs/>
          <w:sz w:val="44"/>
        </w:rPr>
      </w:pPr>
    </w:p>
    <w:p>
      <w:pPr>
        <w:ind w:firstLine="883"/>
        <w:jc w:val="center"/>
        <w:rPr>
          <w:rFonts w:hint="eastAsia" w:ascii="宋体" w:hAnsi="宋体" w:eastAsia="宋体" w:cs="宋体"/>
          <w:b/>
          <w:bCs/>
          <w:sz w:val="44"/>
        </w:rPr>
      </w:pPr>
    </w:p>
    <w:p>
      <w:pPr>
        <w:ind w:firstLine="883"/>
        <w:jc w:val="center"/>
        <w:rPr>
          <w:rFonts w:hint="eastAsia" w:ascii="宋体" w:hAnsi="宋体" w:eastAsia="宋体" w:cs="宋体"/>
          <w:b/>
          <w:bCs/>
          <w:sz w:val="44"/>
        </w:rPr>
      </w:pPr>
    </w:p>
    <w:p>
      <w:pPr>
        <w:spacing w:line="600" w:lineRule="exact"/>
        <w:ind w:firstLine="883"/>
        <w:jc w:val="center"/>
        <w:rPr>
          <w:rFonts w:hint="eastAsia" w:ascii="宋体" w:hAnsi="宋体" w:eastAsia="宋体" w:cs="宋体"/>
          <w:b/>
          <w:kern w:val="0"/>
          <w:sz w:val="44"/>
          <w:szCs w:val="44"/>
        </w:rPr>
      </w:pPr>
    </w:p>
    <w:p>
      <w:pPr>
        <w:spacing w:line="600" w:lineRule="exact"/>
        <w:ind w:firstLine="883"/>
        <w:jc w:val="center"/>
        <w:rPr>
          <w:rFonts w:hint="eastAsia" w:ascii="宋体" w:hAnsi="宋体" w:eastAsia="宋体" w:cs="宋体"/>
          <w:b/>
          <w:kern w:val="0"/>
          <w:sz w:val="44"/>
          <w:szCs w:val="44"/>
        </w:rPr>
      </w:pPr>
    </w:p>
    <w:p>
      <w:pPr>
        <w:spacing w:line="600" w:lineRule="exact"/>
        <w:ind w:firstLine="883"/>
        <w:jc w:val="center"/>
        <w:rPr>
          <w:rFonts w:hint="eastAsia" w:ascii="宋体" w:hAnsi="宋体" w:eastAsia="宋体" w:cs="宋体"/>
          <w:b/>
          <w:kern w:val="0"/>
          <w:sz w:val="44"/>
          <w:szCs w:val="44"/>
        </w:rPr>
      </w:pPr>
    </w:p>
    <w:p>
      <w:pPr>
        <w:jc w:val="center"/>
        <w:rPr>
          <w:rFonts w:hint="eastAsia" w:ascii="宋体" w:hAnsi="宋体" w:eastAsia="宋体" w:cs="宋体"/>
          <w:b/>
          <w:bCs/>
          <w:sz w:val="44"/>
          <w:szCs w:val="44"/>
        </w:rPr>
      </w:pPr>
      <w:r>
        <w:rPr>
          <w:rFonts w:hint="eastAsia" w:ascii="宋体" w:hAnsi="宋体" w:eastAsia="宋体" w:cs="宋体"/>
          <w:b/>
          <w:bCs/>
          <w:sz w:val="44"/>
          <w:szCs w:val="44"/>
        </w:rPr>
        <w:t>江西赣昌安全生产科技服务有限公司</w:t>
      </w:r>
    </w:p>
    <w:p>
      <w:pPr>
        <w:jc w:val="center"/>
        <w:rPr>
          <w:rFonts w:hint="eastAsia" w:ascii="宋体" w:hAnsi="宋体" w:eastAsia="宋体" w:cs="宋体"/>
          <w:b/>
          <w:bCs/>
          <w:sz w:val="32"/>
          <w:szCs w:val="32"/>
        </w:rPr>
      </w:pPr>
      <w:r>
        <w:rPr>
          <w:rFonts w:hint="eastAsia" w:ascii="宋体" w:hAnsi="宋体" w:eastAsia="宋体" w:cs="宋体"/>
          <w:b/>
          <w:bCs/>
          <w:sz w:val="32"/>
          <w:szCs w:val="32"/>
        </w:rPr>
        <w:t>资质证书编号：APJ-（赣）-006</w:t>
      </w:r>
    </w:p>
    <w:p>
      <w:pPr>
        <w:ind w:firstLine="3579" w:firstLineChars="1114"/>
        <w:rPr>
          <w:rFonts w:hint="eastAsia" w:ascii="宋体" w:hAnsi="宋体" w:eastAsia="宋体" w:cs="宋体"/>
          <w:b/>
          <w:kern w:val="0"/>
          <w:sz w:val="44"/>
          <w:szCs w:val="44"/>
        </w:rPr>
        <w:sectPr>
          <w:headerReference r:id="rId5" w:type="first"/>
          <w:footerReference r:id="rId6" w:type="first"/>
          <w:pgSz w:w="11906" w:h="16838"/>
          <w:pgMar w:top="1417" w:right="1417" w:bottom="1417" w:left="1417" w:header="851" w:footer="992" w:gutter="0"/>
          <w:pgNumType w:start="1"/>
          <w:cols w:space="720" w:num="1"/>
          <w:docGrid w:type="lines" w:linePitch="312" w:charSpace="0"/>
        </w:sectPr>
      </w:pPr>
      <w:r>
        <w:rPr>
          <w:rFonts w:hint="eastAsia" w:ascii="宋体" w:hAnsi="宋体" w:eastAsia="宋体" w:cs="宋体"/>
          <w:b/>
          <w:kern w:val="0"/>
          <w:sz w:val="32"/>
          <w:szCs w:val="32"/>
        </w:rPr>
        <w:t>2022年7月</w:t>
      </w:r>
      <w:r>
        <w:rPr>
          <w:rFonts w:hint="eastAsia" w:ascii="宋体" w:hAnsi="宋体" w:eastAsia="宋体" w:cs="宋体"/>
          <w:b/>
          <w:color w:val="auto"/>
          <w:kern w:val="0"/>
          <w:sz w:val="32"/>
          <w:szCs w:val="32"/>
        </w:rPr>
        <w:t>15</w:t>
      </w:r>
      <w:r>
        <w:rPr>
          <w:rFonts w:hint="eastAsia" w:ascii="宋体" w:hAnsi="宋体" w:eastAsia="宋体" w:cs="宋体"/>
          <w:b/>
          <w:kern w:val="0"/>
          <w:sz w:val="32"/>
          <w:szCs w:val="32"/>
        </w:rPr>
        <w:t>日</w:t>
      </w:r>
    </w:p>
    <w:p>
      <w:pPr>
        <w:spacing w:before="156" w:beforeLines="50" w:line="600" w:lineRule="exact"/>
        <w:jc w:val="center"/>
        <w:rPr>
          <w:rFonts w:hint="eastAsia" w:ascii="宋体" w:hAnsi="宋体" w:eastAsia="宋体" w:cs="宋体"/>
          <w:b/>
          <w:bCs/>
          <w:sz w:val="44"/>
          <w:szCs w:val="44"/>
        </w:rPr>
      </w:pPr>
    </w:p>
    <w:p>
      <w:pPr>
        <w:spacing w:before="156" w:beforeLines="50" w:line="600" w:lineRule="exact"/>
        <w:jc w:val="center"/>
        <w:rPr>
          <w:rFonts w:hint="eastAsia" w:ascii="宋体" w:hAnsi="宋体" w:eastAsia="宋体" w:cs="宋体"/>
          <w:b/>
          <w:bCs/>
          <w:sz w:val="44"/>
          <w:szCs w:val="44"/>
        </w:rPr>
      </w:pPr>
    </w:p>
    <w:p>
      <w:pPr>
        <w:spacing w:before="156" w:beforeLines="50" w:line="600" w:lineRule="exact"/>
        <w:jc w:val="center"/>
        <w:rPr>
          <w:rFonts w:hint="eastAsia" w:ascii="宋体" w:hAnsi="宋体" w:eastAsia="宋体" w:cs="宋体"/>
          <w:b/>
          <w:bCs/>
          <w:sz w:val="44"/>
          <w:szCs w:val="44"/>
        </w:rPr>
      </w:pPr>
      <w:r>
        <w:rPr>
          <w:rFonts w:hint="eastAsia" w:ascii="宋体" w:hAnsi="宋体" w:eastAsia="宋体" w:cs="宋体"/>
          <w:b/>
          <w:bCs/>
          <w:sz w:val="44"/>
          <w:szCs w:val="44"/>
        </w:rPr>
        <w:t>江西乾照光电有限公司（氨回收装置）</w:t>
      </w:r>
    </w:p>
    <w:p>
      <w:pPr>
        <w:spacing w:before="156" w:beforeLines="50" w:line="600" w:lineRule="exact"/>
        <w:jc w:val="center"/>
        <w:rPr>
          <w:rFonts w:hint="eastAsia" w:ascii="宋体" w:hAnsi="宋体" w:eastAsia="宋体" w:cs="宋体"/>
          <w:b/>
          <w:bCs/>
          <w:sz w:val="48"/>
          <w:szCs w:val="48"/>
          <w:lang w:val="zh-CN"/>
        </w:rPr>
      </w:pPr>
      <w:r>
        <w:rPr>
          <w:rFonts w:hint="eastAsia" w:ascii="宋体" w:hAnsi="宋体" w:eastAsia="宋体" w:cs="宋体"/>
          <w:b/>
          <w:bCs/>
          <w:sz w:val="48"/>
          <w:szCs w:val="48"/>
          <w:lang w:val="zh-CN"/>
        </w:rPr>
        <w:t>安全</w:t>
      </w:r>
      <w:r>
        <w:rPr>
          <w:rFonts w:hint="eastAsia" w:ascii="宋体" w:hAnsi="宋体" w:eastAsia="宋体" w:cs="宋体"/>
          <w:b/>
          <w:bCs/>
          <w:sz w:val="48"/>
          <w:szCs w:val="48"/>
        </w:rPr>
        <w:t>现状</w:t>
      </w:r>
      <w:r>
        <w:rPr>
          <w:rFonts w:hint="eastAsia" w:ascii="宋体" w:hAnsi="宋体" w:eastAsia="宋体" w:cs="宋体"/>
          <w:b/>
          <w:bCs/>
          <w:sz w:val="48"/>
          <w:szCs w:val="48"/>
          <w:lang w:val="zh-CN"/>
        </w:rPr>
        <w:t>评价报告</w:t>
      </w:r>
    </w:p>
    <w:p>
      <w:pPr>
        <w:jc w:val="center"/>
        <w:rPr>
          <w:rFonts w:hint="eastAsia" w:ascii="宋体" w:hAnsi="宋体" w:eastAsia="宋体" w:cs="宋体"/>
          <w:b/>
          <w:bCs/>
          <w:sz w:val="40"/>
          <w:szCs w:val="28"/>
        </w:rPr>
      </w:pPr>
    </w:p>
    <w:p>
      <w:pPr>
        <w:jc w:val="center"/>
        <w:rPr>
          <w:rFonts w:hint="eastAsia" w:ascii="宋体" w:hAnsi="宋体" w:eastAsia="宋体" w:cs="宋体"/>
          <w:b/>
          <w:bCs/>
          <w:sz w:val="40"/>
          <w:szCs w:val="28"/>
        </w:rPr>
      </w:pPr>
      <w:r>
        <w:rPr>
          <w:rFonts w:hint="eastAsia" w:ascii="宋体" w:hAnsi="宋体" w:eastAsia="宋体" w:cs="宋体"/>
          <w:b/>
          <w:bCs/>
          <w:sz w:val="40"/>
          <w:szCs w:val="28"/>
        </w:rPr>
        <w:t>(终稿)</w:t>
      </w:r>
    </w:p>
    <w:p>
      <w:pPr>
        <w:jc w:val="center"/>
        <w:rPr>
          <w:rFonts w:hint="eastAsia" w:ascii="宋体" w:hAnsi="宋体" w:eastAsia="宋体" w:cs="宋体"/>
          <w:szCs w:val="21"/>
        </w:rPr>
      </w:pPr>
    </w:p>
    <w:p>
      <w:pPr>
        <w:pStyle w:val="2"/>
        <w:rPr>
          <w:rFonts w:hint="eastAsia" w:ascii="宋体" w:hAnsi="宋体" w:eastAsia="宋体" w:cs="宋体"/>
        </w:rPr>
      </w:pPr>
    </w:p>
    <w:p>
      <w:pPr>
        <w:jc w:val="center"/>
        <w:rPr>
          <w:rFonts w:hint="eastAsia" w:ascii="宋体" w:hAnsi="宋体" w:eastAsia="宋体" w:cs="宋体"/>
          <w:szCs w:val="21"/>
        </w:rPr>
      </w:pPr>
    </w:p>
    <w:p>
      <w:pPr>
        <w:jc w:val="center"/>
        <w:rPr>
          <w:rFonts w:hint="eastAsia" w:ascii="宋体" w:hAnsi="宋体" w:eastAsia="宋体" w:cs="宋体"/>
          <w:szCs w:val="21"/>
        </w:rPr>
      </w:pPr>
    </w:p>
    <w:p>
      <w:pPr>
        <w:jc w:val="center"/>
        <w:rPr>
          <w:rFonts w:hint="eastAsia" w:ascii="宋体" w:hAnsi="宋体" w:eastAsia="宋体" w:cs="宋体"/>
          <w:szCs w:val="21"/>
        </w:rPr>
      </w:pPr>
    </w:p>
    <w:p>
      <w:pPr>
        <w:jc w:val="center"/>
        <w:rPr>
          <w:rFonts w:hint="eastAsia" w:ascii="宋体" w:hAnsi="宋体" w:eastAsia="宋体" w:cs="宋体"/>
          <w:szCs w:val="36"/>
        </w:rPr>
      </w:pPr>
    </w:p>
    <w:p>
      <w:pPr>
        <w:jc w:val="center"/>
        <w:rPr>
          <w:rFonts w:hint="eastAsia" w:ascii="宋体" w:hAnsi="宋体" w:eastAsia="宋体" w:cs="宋体"/>
          <w:szCs w:val="36"/>
        </w:rPr>
      </w:pPr>
    </w:p>
    <w:p>
      <w:pPr>
        <w:jc w:val="center"/>
        <w:rPr>
          <w:rFonts w:hint="eastAsia" w:ascii="宋体" w:hAnsi="宋体" w:eastAsia="宋体" w:cs="宋体"/>
          <w:szCs w:val="36"/>
        </w:rPr>
      </w:pPr>
    </w:p>
    <w:p>
      <w:pPr>
        <w:jc w:val="center"/>
        <w:rPr>
          <w:rFonts w:hint="eastAsia" w:ascii="宋体" w:hAnsi="宋体" w:eastAsia="宋体" w:cs="宋体"/>
          <w:szCs w:val="36"/>
        </w:rPr>
      </w:pPr>
    </w:p>
    <w:p>
      <w:pPr>
        <w:ind w:firstLine="3080" w:firstLineChars="1100"/>
        <w:rPr>
          <w:rFonts w:hint="eastAsia" w:ascii="宋体" w:hAnsi="宋体" w:eastAsia="宋体" w:cs="宋体"/>
          <w:bCs/>
          <w:kern w:val="0"/>
          <w:szCs w:val="28"/>
        </w:rPr>
      </w:pPr>
      <w:r>
        <w:rPr>
          <w:rFonts w:hint="eastAsia" w:ascii="宋体" w:hAnsi="宋体" w:eastAsia="宋体" w:cs="宋体"/>
          <w:bCs/>
          <w:kern w:val="0"/>
          <w:szCs w:val="28"/>
        </w:rPr>
        <w:t>法定代表人：应  宏</w:t>
      </w:r>
    </w:p>
    <w:p>
      <w:pPr>
        <w:ind w:firstLine="3080" w:firstLineChars="1100"/>
        <w:rPr>
          <w:rFonts w:hint="eastAsia" w:ascii="宋体" w:hAnsi="宋体" w:eastAsia="宋体" w:cs="宋体"/>
          <w:bCs/>
          <w:kern w:val="0"/>
          <w:szCs w:val="28"/>
        </w:rPr>
      </w:pPr>
      <w:r>
        <w:rPr>
          <w:rFonts w:hint="eastAsia" w:ascii="宋体" w:hAnsi="宋体" w:eastAsia="宋体" w:cs="宋体"/>
          <w:bCs/>
          <w:kern w:val="0"/>
          <w:szCs w:val="28"/>
        </w:rPr>
        <w:t>技术负责人：邱国强</w:t>
      </w:r>
    </w:p>
    <w:p>
      <w:pPr>
        <w:ind w:firstLine="3080" w:firstLineChars="1100"/>
        <w:rPr>
          <w:rFonts w:hint="eastAsia" w:ascii="宋体" w:hAnsi="宋体" w:eastAsia="宋体" w:cs="宋体"/>
          <w:bCs/>
          <w:kern w:val="0"/>
          <w:szCs w:val="28"/>
        </w:rPr>
      </w:pPr>
      <w:r>
        <w:rPr>
          <w:rFonts w:hint="eastAsia" w:ascii="宋体" w:hAnsi="宋体" w:eastAsia="宋体" w:cs="宋体"/>
          <w:bCs/>
          <w:kern w:val="0"/>
          <w:szCs w:val="28"/>
        </w:rPr>
        <w:t>项目负责人：李佐仁</w:t>
      </w:r>
    </w:p>
    <w:p>
      <w:pPr>
        <w:jc w:val="center"/>
        <w:rPr>
          <w:rFonts w:hint="eastAsia" w:ascii="宋体" w:hAnsi="宋体" w:eastAsia="宋体" w:cs="宋体"/>
          <w:szCs w:val="21"/>
          <w:lang w:val="zh-CN"/>
        </w:rPr>
      </w:pPr>
    </w:p>
    <w:p>
      <w:pPr>
        <w:widowControl/>
        <w:jc w:val="center"/>
        <w:rPr>
          <w:rFonts w:hint="eastAsia" w:ascii="宋体" w:hAnsi="宋体" w:eastAsia="宋体" w:cs="宋体"/>
          <w:sz w:val="44"/>
          <w:szCs w:val="44"/>
        </w:rPr>
        <w:sectPr>
          <w:headerReference r:id="rId7" w:type="default"/>
          <w:footerReference r:id="rId8" w:type="default"/>
          <w:pgSz w:w="11906" w:h="16838"/>
          <w:pgMar w:top="1417" w:right="1417" w:bottom="1417" w:left="1417" w:header="851" w:footer="992" w:gutter="0"/>
          <w:pgNumType w:fmt="upperRoman" w:start="1"/>
          <w:cols w:space="720" w:num="1"/>
          <w:docGrid w:type="lines" w:linePitch="312" w:charSpace="0"/>
        </w:sectPr>
      </w:pPr>
      <w:r>
        <w:rPr>
          <w:rFonts w:hint="eastAsia" w:ascii="宋体" w:hAnsi="宋体" w:eastAsia="宋体" w:cs="宋体"/>
          <w:b/>
          <w:bCs/>
          <w:kern w:val="0"/>
          <w:sz w:val="30"/>
          <w:szCs w:val="30"/>
        </w:rPr>
        <w:t>报告完成日期：2022年7月</w:t>
      </w:r>
      <w:r>
        <w:rPr>
          <w:rFonts w:hint="eastAsia" w:ascii="宋体" w:hAnsi="宋体" w:eastAsia="宋体" w:cs="宋体"/>
          <w:b/>
          <w:bCs/>
          <w:color w:val="auto"/>
          <w:kern w:val="0"/>
          <w:sz w:val="30"/>
          <w:szCs w:val="30"/>
        </w:rPr>
        <w:t>15</w:t>
      </w:r>
      <w:r>
        <w:rPr>
          <w:rFonts w:hint="eastAsia" w:ascii="宋体" w:hAnsi="宋体" w:eastAsia="宋体" w:cs="宋体"/>
          <w:b/>
          <w:bCs/>
          <w:kern w:val="0"/>
          <w:sz w:val="30"/>
          <w:szCs w:val="30"/>
        </w:rPr>
        <w:t>日</w:t>
      </w:r>
    </w:p>
    <w:p>
      <w:pPr>
        <w:widowControl/>
        <w:spacing w:line="600" w:lineRule="exact"/>
        <w:jc w:val="center"/>
        <w:rPr>
          <w:rFonts w:hint="eastAsia" w:ascii="宋体" w:hAnsi="宋体" w:eastAsia="宋体" w:cs="宋体"/>
          <w:b/>
          <w:sz w:val="32"/>
          <w:szCs w:val="32"/>
        </w:rPr>
      </w:pPr>
      <w:r>
        <w:rPr>
          <w:rFonts w:hint="eastAsia" w:ascii="宋体" w:hAnsi="宋体" w:eastAsia="宋体" w:cs="宋体"/>
          <w:b/>
          <w:sz w:val="32"/>
          <w:szCs w:val="32"/>
        </w:rPr>
        <w:t>安全评价技术服务承诺书</w:t>
      </w:r>
    </w:p>
    <w:p>
      <w:pPr>
        <w:spacing w:line="600" w:lineRule="exact"/>
        <w:ind w:firstLine="560" w:firstLineChars="200"/>
        <w:jc w:val="left"/>
        <w:rPr>
          <w:rFonts w:hint="eastAsia" w:ascii="宋体" w:hAnsi="宋体" w:eastAsia="宋体" w:cs="宋体"/>
          <w:kern w:val="0"/>
          <w:szCs w:val="28"/>
        </w:rPr>
      </w:pPr>
      <w:r>
        <w:rPr>
          <w:rFonts w:hint="eastAsia" w:ascii="宋体" w:hAnsi="宋体" w:eastAsia="宋体" w:cs="宋体"/>
          <w:kern w:val="0"/>
          <w:szCs w:val="28"/>
        </w:rPr>
        <w:t xml:space="preserve">一、在本项目安全评价活动过程中，我单位严格遵守《安全生产法》及相关法律、法规和标准的要求。   </w:t>
      </w:r>
    </w:p>
    <w:p>
      <w:pPr>
        <w:spacing w:line="600" w:lineRule="exact"/>
        <w:ind w:firstLine="560" w:firstLineChars="200"/>
        <w:jc w:val="left"/>
        <w:rPr>
          <w:rFonts w:hint="eastAsia" w:ascii="宋体" w:hAnsi="宋体" w:eastAsia="宋体" w:cs="宋体"/>
          <w:kern w:val="0"/>
          <w:szCs w:val="28"/>
        </w:rPr>
      </w:pPr>
      <w:r>
        <w:rPr>
          <w:rFonts w:hint="eastAsia" w:ascii="宋体" w:hAnsi="宋体" w:eastAsia="宋体" w:cs="宋体"/>
          <w:kern w:val="0"/>
          <w:szCs w:val="28"/>
        </w:rPr>
        <w:t>二、在本项目安全评价活动过程中，我单位作为第三方，未受到任何组织和个人的干预和影响，依法独立开展工作，保证了技术服务活动的客观公正性。</w:t>
      </w:r>
    </w:p>
    <w:p>
      <w:pPr>
        <w:spacing w:line="600" w:lineRule="exact"/>
        <w:ind w:firstLine="560" w:firstLineChars="200"/>
        <w:jc w:val="left"/>
        <w:rPr>
          <w:rFonts w:hint="eastAsia" w:ascii="宋体" w:hAnsi="宋体" w:eastAsia="宋体" w:cs="宋体"/>
          <w:kern w:val="0"/>
          <w:szCs w:val="28"/>
        </w:rPr>
      </w:pPr>
      <w:r>
        <w:rPr>
          <w:rFonts w:hint="eastAsia" w:ascii="宋体" w:hAnsi="宋体" w:eastAsia="宋体" w:cs="宋体"/>
          <w:kern w:val="0"/>
          <w:szCs w:val="28"/>
        </w:rPr>
        <w:t>三、我单位按照实事求是的原则，对本项目进行安全评价，确保出具的报告均真实有效，报告所提出的措施具有针对性、有效性和可行性。</w:t>
      </w:r>
    </w:p>
    <w:p>
      <w:pPr>
        <w:spacing w:line="600" w:lineRule="exact"/>
        <w:ind w:firstLine="560" w:firstLineChars="200"/>
        <w:jc w:val="left"/>
        <w:rPr>
          <w:rFonts w:hint="eastAsia" w:ascii="宋体" w:hAnsi="宋体" w:eastAsia="宋体" w:cs="宋体"/>
          <w:kern w:val="0"/>
          <w:szCs w:val="28"/>
        </w:rPr>
      </w:pPr>
      <w:r>
        <w:rPr>
          <w:rFonts w:hint="eastAsia" w:ascii="宋体" w:hAnsi="宋体" w:eastAsia="宋体" w:cs="宋体"/>
          <w:kern w:val="0"/>
          <w:szCs w:val="28"/>
        </w:rPr>
        <w:t xml:space="preserve">四、我单位对本项目安全评价报告中结论性内容承担法律责任。 </w:t>
      </w:r>
    </w:p>
    <w:p>
      <w:pPr>
        <w:widowControl/>
        <w:wordWrap w:val="0"/>
        <w:spacing w:line="600" w:lineRule="exact"/>
        <w:ind w:firstLine="480"/>
        <w:jc w:val="left"/>
        <w:rPr>
          <w:rFonts w:hint="eastAsia" w:ascii="宋体" w:hAnsi="宋体" w:eastAsia="宋体" w:cs="宋体"/>
          <w:kern w:val="0"/>
          <w:szCs w:val="28"/>
        </w:rPr>
      </w:pPr>
      <w:r>
        <w:rPr>
          <w:rFonts w:hint="eastAsia" w:ascii="宋体" w:hAnsi="宋体" w:eastAsia="宋体" w:cs="宋体"/>
          <w:kern w:val="0"/>
          <w:szCs w:val="28"/>
        </w:rPr>
        <w:t xml:space="preserve">                      </w:t>
      </w:r>
    </w:p>
    <w:p>
      <w:pPr>
        <w:widowControl/>
        <w:wordWrap w:val="0"/>
        <w:spacing w:line="600" w:lineRule="exact"/>
        <w:jc w:val="left"/>
        <w:rPr>
          <w:rFonts w:hint="eastAsia" w:ascii="宋体" w:hAnsi="宋体" w:eastAsia="宋体" w:cs="宋体"/>
          <w:szCs w:val="28"/>
        </w:rPr>
      </w:pPr>
    </w:p>
    <w:p>
      <w:pPr>
        <w:widowControl/>
        <w:wordWrap w:val="0"/>
        <w:spacing w:line="600" w:lineRule="exact"/>
        <w:ind w:firstLine="480"/>
        <w:jc w:val="right"/>
        <w:rPr>
          <w:rFonts w:hint="eastAsia" w:ascii="宋体" w:hAnsi="宋体" w:eastAsia="宋体" w:cs="宋体"/>
          <w:szCs w:val="28"/>
        </w:rPr>
      </w:pPr>
      <w:r>
        <w:rPr>
          <w:rFonts w:hint="eastAsia" w:ascii="宋体" w:hAnsi="宋体" w:eastAsia="宋体" w:cs="宋体"/>
          <w:szCs w:val="28"/>
        </w:rPr>
        <w:t xml:space="preserve">      </w:t>
      </w:r>
    </w:p>
    <w:p>
      <w:pPr>
        <w:widowControl/>
        <w:wordWrap w:val="0"/>
        <w:spacing w:line="600" w:lineRule="exact"/>
        <w:ind w:firstLine="480"/>
        <w:jc w:val="right"/>
        <w:rPr>
          <w:rFonts w:hint="eastAsia" w:ascii="宋体" w:hAnsi="宋体" w:eastAsia="宋体" w:cs="宋体"/>
          <w:szCs w:val="28"/>
        </w:rPr>
      </w:pPr>
    </w:p>
    <w:p>
      <w:pPr>
        <w:jc w:val="right"/>
        <w:rPr>
          <w:rFonts w:hint="eastAsia" w:ascii="宋体" w:hAnsi="宋体" w:eastAsia="宋体" w:cs="宋体"/>
          <w:szCs w:val="28"/>
        </w:rPr>
      </w:pPr>
      <w:bookmarkStart w:id="0" w:name="_Toc20118"/>
      <w:bookmarkStart w:id="1" w:name="_Toc22788"/>
      <w:bookmarkStart w:id="2" w:name="_Toc11331"/>
      <w:bookmarkStart w:id="3" w:name="_Toc29241"/>
      <w:bookmarkStart w:id="4" w:name="_Toc16566"/>
      <w:r>
        <w:rPr>
          <w:rFonts w:hint="eastAsia" w:ascii="宋体" w:hAnsi="宋体" w:eastAsia="宋体" w:cs="宋体"/>
          <w:szCs w:val="28"/>
        </w:rPr>
        <w:t xml:space="preserve">江西赣昌安全生产科技服务有限公司                              </w:t>
      </w:r>
      <w:bookmarkStart w:id="5" w:name="_Toc1843"/>
      <w:bookmarkStart w:id="6" w:name="_Toc31985"/>
      <w:r>
        <w:rPr>
          <w:rFonts w:hint="eastAsia" w:ascii="宋体" w:hAnsi="宋体" w:eastAsia="宋体" w:cs="宋体"/>
          <w:szCs w:val="28"/>
        </w:rPr>
        <w:t>2022年7月</w:t>
      </w:r>
      <w:r>
        <w:rPr>
          <w:rFonts w:hint="eastAsia" w:ascii="宋体" w:hAnsi="宋体" w:eastAsia="宋体" w:cs="宋体"/>
          <w:color w:val="auto"/>
          <w:szCs w:val="28"/>
        </w:rPr>
        <w:t>15</w:t>
      </w:r>
      <w:r>
        <w:rPr>
          <w:rFonts w:hint="eastAsia" w:ascii="宋体" w:hAnsi="宋体" w:eastAsia="宋体" w:cs="宋体"/>
          <w:szCs w:val="28"/>
        </w:rPr>
        <w:t>日</w:t>
      </w:r>
      <w:bookmarkEnd w:id="0"/>
      <w:bookmarkEnd w:id="1"/>
      <w:bookmarkEnd w:id="2"/>
      <w:bookmarkEnd w:id="3"/>
      <w:bookmarkEnd w:id="4"/>
      <w:bookmarkEnd w:id="5"/>
      <w:bookmarkEnd w:id="6"/>
    </w:p>
    <w:p>
      <w:pPr>
        <w:jc w:val="center"/>
        <w:rPr>
          <w:rFonts w:hint="eastAsia" w:ascii="宋体" w:hAnsi="宋体" w:eastAsia="宋体" w:cs="宋体"/>
          <w:b/>
          <w:sz w:val="32"/>
          <w:szCs w:val="32"/>
        </w:rPr>
      </w:pPr>
      <w:r>
        <w:rPr>
          <w:rFonts w:hint="eastAsia" w:ascii="宋体" w:hAnsi="宋体" w:eastAsia="宋体" w:cs="宋体"/>
        </w:rPr>
        <w:br w:type="page"/>
      </w:r>
      <w:r>
        <w:rPr>
          <w:rFonts w:hint="eastAsia" w:ascii="宋体" w:hAnsi="宋体" w:eastAsia="宋体" w:cs="宋体"/>
          <w:b/>
          <w:sz w:val="32"/>
          <w:szCs w:val="32"/>
        </w:rPr>
        <w:t>规范安全生产中介行为的九条禁令</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一、禁止从事安全生产和职业卫生服务的中介服务机构（以下统称中介机构）租借资质证书、非法挂靠、转包服务项目的行为；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二、禁止中介机构假借、冒用他人名义要求服务对象接受有偿服务，或者恶意低价竞争以及采取串标、围标等不正当竞争手段，扰乱技术服务市场秩序的行为；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三、禁止中介机构出具虚假或漏项、缺项技术报告的行为；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四、禁止中介机构出租、出借资格证书、在报告上冒用他人签名的行为；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五、禁止中介机构有应到而不到现场开展技术服务的行为；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六、禁止安全生产监管部门及其工作人员要求生产经营单位接受指定的中介机构开展技术服务的行为；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七、禁止安全生产监管部门及其工作人员没有法律依据组织由生产经营单位或机构支付费用的行政性评审的行为；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 xml:space="preserve">八、禁止安全生产监管部门及其工作人员干预市场定价，违规擅自出台技术服务收费标准的行为； </w:t>
      </w:r>
    </w:p>
    <w:p>
      <w:pPr>
        <w:spacing w:line="600" w:lineRule="exact"/>
        <w:ind w:firstLine="504" w:firstLineChars="200"/>
        <w:jc w:val="left"/>
        <w:rPr>
          <w:rFonts w:hint="eastAsia" w:ascii="宋体" w:hAnsi="宋体" w:eastAsia="宋体" w:cs="宋体"/>
          <w:w w:val="90"/>
          <w:kern w:val="0"/>
          <w:szCs w:val="28"/>
        </w:rPr>
      </w:pPr>
      <w:r>
        <w:rPr>
          <w:rFonts w:hint="eastAsia" w:ascii="宋体" w:hAnsi="宋体" w:eastAsia="宋体" w:cs="宋体"/>
          <w:w w:val="90"/>
          <w:kern w:val="0"/>
          <w:szCs w:val="28"/>
        </w:rPr>
        <w:t>九、禁止安全生产监管部门及其工作人员参与、擅自干预中介机构从业活动，或者有获取不正当利益的行为。</w:t>
      </w:r>
    </w:p>
    <w:p>
      <w:pPr>
        <w:jc w:val="center"/>
        <w:rPr>
          <w:rFonts w:hint="eastAsia" w:ascii="宋体" w:hAnsi="宋体" w:eastAsia="宋体" w:cs="宋体"/>
        </w:rPr>
      </w:pPr>
      <w:r>
        <w:rPr>
          <w:rFonts w:hint="eastAsia" w:ascii="宋体" w:hAnsi="宋体" w:eastAsia="宋体" w:cs="宋体"/>
        </w:rPr>
        <w:br w:type="page"/>
      </w:r>
    </w:p>
    <w:p>
      <w:pPr>
        <w:jc w:val="center"/>
        <w:rPr>
          <w:rFonts w:hint="eastAsia" w:ascii="宋体" w:hAnsi="宋体" w:eastAsia="宋体" w:cs="宋体"/>
          <w:b/>
          <w:sz w:val="32"/>
          <w:szCs w:val="32"/>
        </w:rPr>
      </w:pPr>
    </w:p>
    <w:p>
      <w:pPr>
        <w:jc w:val="center"/>
        <w:rPr>
          <w:rFonts w:hint="eastAsia" w:ascii="宋体" w:hAnsi="宋体" w:eastAsia="宋体" w:cs="宋体"/>
          <w:b/>
          <w:sz w:val="32"/>
          <w:szCs w:val="32"/>
        </w:rPr>
      </w:pPr>
    </w:p>
    <w:p>
      <w:pPr>
        <w:jc w:val="center"/>
        <w:rPr>
          <w:rFonts w:hint="eastAsia" w:ascii="宋体" w:hAnsi="宋体" w:eastAsia="宋体" w:cs="宋体"/>
          <w:b/>
          <w:sz w:val="32"/>
          <w:szCs w:val="32"/>
        </w:rPr>
      </w:pPr>
      <w:r>
        <w:rPr>
          <w:rFonts w:hint="eastAsia" w:ascii="宋体" w:hAnsi="宋体" w:eastAsia="宋体" w:cs="宋体"/>
          <w:b/>
          <w:sz w:val="32"/>
          <w:szCs w:val="32"/>
        </w:rPr>
        <w:t>评  价  人  员</w:t>
      </w:r>
    </w:p>
    <w:p>
      <w:pPr>
        <w:pStyle w:val="36"/>
        <w:rPr>
          <w:rFonts w:hint="eastAsia" w:ascii="宋体" w:hAnsi="宋体" w:eastAsia="宋体" w:cs="宋体"/>
          <w:color w:val="auto"/>
        </w:rPr>
      </w:pPr>
    </w:p>
    <w:tbl>
      <w:tblPr>
        <w:tblStyle w:val="28"/>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9"/>
        <w:gridCol w:w="1143"/>
        <w:gridCol w:w="2990"/>
        <w:gridCol w:w="1854"/>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919" w:type="dxa"/>
          </w:tcPr>
          <w:p>
            <w:pPr>
              <w:spacing w:line="600" w:lineRule="exact"/>
              <w:jc w:val="center"/>
              <w:rPr>
                <w:rFonts w:hint="eastAsia" w:ascii="宋体" w:hAnsi="宋体" w:eastAsia="宋体" w:cs="宋体"/>
                <w:sz w:val="24"/>
              </w:rPr>
            </w:pPr>
          </w:p>
        </w:tc>
        <w:tc>
          <w:tcPr>
            <w:tcW w:w="1143" w:type="dxa"/>
          </w:tcPr>
          <w:p>
            <w:pPr>
              <w:spacing w:line="600" w:lineRule="exact"/>
              <w:jc w:val="center"/>
              <w:rPr>
                <w:rFonts w:hint="eastAsia" w:ascii="宋体" w:hAnsi="宋体" w:eastAsia="宋体" w:cs="宋体"/>
                <w:sz w:val="24"/>
              </w:rPr>
            </w:pPr>
            <w:r>
              <w:rPr>
                <w:rFonts w:hint="eastAsia" w:ascii="宋体" w:hAnsi="宋体" w:eastAsia="宋体" w:cs="宋体"/>
                <w:sz w:val="24"/>
              </w:rPr>
              <w:t>姓 名</w:t>
            </w:r>
          </w:p>
        </w:tc>
        <w:tc>
          <w:tcPr>
            <w:tcW w:w="2990" w:type="dxa"/>
          </w:tcPr>
          <w:p>
            <w:pPr>
              <w:spacing w:line="600" w:lineRule="exact"/>
              <w:jc w:val="center"/>
              <w:rPr>
                <w:rFonts w:hint="eastAsia" w:ascii="宋体" w:hAnsi="宋体" w:eastAsia="宋体" w:cs="宋体"/>
                <w:sz w:val="24"/>
              </w:rPr>
            </w:pPr>
            <w:r>
              <w:rPr>
                <w:rFonts w:hint="eastAsia" w:ascii="宋体" w:hAnsi="宋体" w:eastAsia="宋体" w:cs="宋体"/>
                <w:sz w:val="24"/>
              </w:rPr>
              <w:t>资格证书号</w:t>
            </w:r>
          </w:p>
        </w:tc>
        <w:tc>
          <w:tcPr>
            <w:tcW w:w="1854" w:type="dxa"/>
          </w:tcPr>
          <w:p>
            <w:pPr>
              <w:spacing w:line="600" w:lineRule="exact"/>
              <w:jc w:val="center"/>
              <w:rPr>
                <w:rFonts w:hint="eastAsia" w:ascii="宋体" w:hAnsi="宋体" w:eastAsia="宋体" w:cs="宋体"/>
                <w:sz w:val="24"/>
              </w:rPr>
            </w:pPr>
            <w:r>
              <w:rPr>
                <w:rFonts w:hint="eastAsia" w:ascii="宋体" w:hAnsi="宋体" w:eastAsia="宋体" w:cs="宋体"/>
                <w:sz w:val="24"/>
              </w:rPr>
              <w:t>从业登记编号</w:t>
            </w:r>
          </w:p>
        </w:tc>
        <w:tc>
          <w:tcPr>
            <w:tcW w:w="1412" w:type="dxa"/>
          </w:tcPr>
          <w:p>
            <w:pPr>
              <w:spacing w:line="600" w:lineRule="exact"/>
              <w:jc w:val="center"/>
              <w:rPr>
                <w:rFonts w:hint="eastAsia" w:ascii="宋体" w:hAnsi="宋体" w:eastAsia="宋体" w:cs="宋体"/>
                <w:sz w:val="24"/>
              </w:rPr>
            </w:pPr>
            <w:r>
              <w:rPr>
                <w:rFonts w:hint="eastAsia" w:ascii="宋体" w:hAnsi="宋体" w:eastAsia="宋体" w:cs="宋体"/>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919" w:type="dxa"/>
          </w:tcPr>
          <w:p>
            <w:pPr>
              <w:spacing w:line="600" w:lineRule="exact"/>
              <w:jc w:val="center"/>
              <w:rPr>
                <w:rFonts w:hint="eastAsia" w:ascii="宋体" w:hAnsi="宋体" w:eastAsia="宋体" w:cs="宋体"/>
                <w:sz w:val="24"/>
              </w:rPr>
            </w:pPr>
            <w:r>
              <w:rPr>
                <w:rFonts w:hint="eastAsia" w:ascii="宋体" w:hAnsi="宋体" w:eastAsia="宋体" w:cs="宋体"/>
                <w:sz w:val="24"/>
              </w:rPr>
              <w:t>项目负责人</w:t>
            </w: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李佐仁</w:t>
            </w:r>
          </w:p>
        </w:tc>
        <w:tc>
          <w:tcPr>
            <w:tcW w:w="2990"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S011035000110201000578</w:t>
            </w:r>
          </w:p>
        </w:tc>
        <w:tc>
          <w:tcPr>
            <w:tcW w:w="1854"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034397</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trPr>
        <w:tc>
          <w:tcPr>
            <w:tcW w:w="1919" w:type="dxa"/>
            <w:vMerge w:val="restart"/>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项目组成员</w:t>
            </w: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李佐仁</w:t>
            </w:r>
          </w:p>
        </w:tc>
        <w:tc>
          <w:tcPr>
            <w:tcW w:w="2990"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S011035000110201000578</w:t>
            </w:r>
          </w:p>
        </w:tc>
        <w:tc>
          <w:tcPr>
            <w:tcW w:w="1854"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034397</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919" w:type="dxa"/>
            <w:vMerge w:val="continue"/>
          </w:tcPr>
          <w:p>
            <w:pPr>
              <w:spacing w:line="600" w:lineRule="exact"/>
              <w:jc w:val="center"/>
              <w:rPr>
                <w:rFonts w:hint="eastAsia" w:ascii="宋体" w:hAnsi="宋体" w:eastAsia="宋体" w:cs="宋体"/>
                <w:sz w:val="24"/>
              </w:rPr>
            </w:pP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占兴旺</w:t>
            </w:r>
          </w:p>
        </w:tc>
        <w:tc>
          <w:tcPr>
            <w:tcW w:w="2990"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S011035000110202001332</w:t>
            </w:r>
          </w:p>
        </w:tc>
        <w:tc>
          <w:tcPr>
            <w:tcW w:w="1854"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029716</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1919" w:type="dxa"/>
            <w:vMerge w:val="continue"/>
          </w:tcPr>
          <w:p>
            <w:pPr>
              <w:spacing w:line="600" w:lineRule="exact"/>
              <w:jc w:val="center"/>
              <w:rPr>
                <w:rFonts w:hint="eastAsia" w:ascii="宋体" w:hAnsi="宋体" w:eastAsia="宋体" w:cs="宋体"/>
                <w:sz w:val="24"/>
              </w:rPr>
            </w:pP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徐志平</w:t>
            </w:r>
          </w:p>
        </w:tc>
        <w:tc>
          <w:tcPr>
            <w:tcW w:w="2990" w:type="dxa"/>
          </w:tcPr>
          <w:p>
            <w:pPr>
              <w:spacing w:line="600" w:lineRule="exact"/>
              <w:jc w:val="center"/>
              <w:rPr>
                <w:rFonts w:hint="eastAsia" w:ascii="宋体" w:hAnsi="宋体" w:eastAsia="宋体" w:cs="宋体"/>
                <w:sz w:val="24"/>
              </w:rPr>
            </w:pPr>
            <w:r>
              <w:rPr>
                <w:rFonts w:hint="eastAsia" w:ascii="宋体" w:hAnsi="宋体" w:eastAsia="宋体" w:cs="宋体"/>
                <w:sz w:val="24"/>
              </w:rPr>
              <w:t>S011032000110203000975</w:t>
            </w:r>
          </w:p>
        </w:tc>
        <w:tc>
          <w:tcPr>
            <w:tcW w:w="1854" w:type="dxa"/>
          </w:tcPr>
          <w:p>
            <w:pPr>
              <w:spacing w:line="600" w:lineRule="exact"/>
              <w:jc w:val="center"/>
              <w:rPr>
                <w:rFonts w:hint="eastAsia" w:ascii="宋体" w:hAnsi="宋体" w:eastAsia="宋体" w:cs="宋体"/>
                <w:sz w:val="24"/>
              </w:rPr>
            </w:pPr>
            <w:r>
              <w:rPr>
                <w:rFonts w:hint="eastAsia" w:ascii="宋体" w:hAnsi="宋体" w:eastAsia="宋体" w:cs="宋体"/>
                <w:sz w:val="24"/>
              </w:rPr>
              <w:t>040952</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919" w:type="dxa"/>
            <w:vMerge w:val="restart"/>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报告编制人</w:t>
            </w: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李佐仁</w:t>
            </w:r>
          </w:p>
        </w:tc>
        <w:tc>
          <w:tcPr>
            <w:tcW w:w="2990"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S011035000110201000578</w:t>
            </w:r>
          </w:p>
        </w:tc>
        <w:tc>
          <w:tcPr>
            <w:tcW w:w="1854"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034397</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919" w:type="dxa"/>
          </w:tcPr>
          <w:p>
            <w:pPr>
              <w:spacing w:line="600" w:lineRule="exact"/>
              <w:jc w:val="center"/>
              <w:rPr>
                <w:rFonts w:hint="eastAsia" w:ascii="宋体" w:hAnsi="宋体" w:eastAsia="宋体" w:cs="宋体"/>
                <w:sz w:val="24"/>
              </w:rPr>
            </w:pPr>
            <w:r>
              <w:rPr>
                <w:rFonts w:hint="eastAsia" w:ascii="宋体" w:hAnsi="宋体" w:eastAsia="宋体" w:cs="宋体"/>
                <w:sz w:val="24"/>
              </w:rPr>
              <w:t>报告审核人</w:t>
            </w:r>
          </w:p>
        </w:tc>
        <w:tc>
          <w:tcPr>
            <w:tcW w:w="1143" w:type="dxa"/>
            <w:vAlign w:val="center"/>
          </w:tcPr>
          <w:p>
            <w:pPr>
              <w:spacing w:line="240" w:lineRule="auto"/>
              <w:jc w:val="center"/>
              <w:rPr>
                <w:rFonts w:hint="eastAsia" w:ascii="宋体" w:hAnsi="宋体" w:eastAsia="宋体" w:cs="宋体"/>
                <w:kern w:val="2"/>
                <w:sz w:val="24"/>
                <w:szCs w:val="24"/>
                <w:lang w:val="en-US" w:eastAsia="zh-CN" w:bidi="ar-SA"/>
              </w:rPr>
            </w:pPr>
            <w:r>
              <w:rPr>
                <w:rFonts w:hint="eastAsia" w:ascii="宋体" w:hAnsi="宋体" w:eastAsia="宋体" w:cs="宋体"/>
              </w:rPr>
              <w:fldChar w:fldCharType="begin"/>
            </w:r>
            <w:r>
              <w:rPr>
                <w:rFonts w:hint="eastAsia" w:ascii="宋体" w:hAnsi="宋体" w:eastAsia="宋体" w:cs="宋体"/>
              </w:rPr>
              <w:instrText xml:space="preserve"> HYPERLINK "http://cydj.5anquan.com/UILogin/BeforeUserInfoShow/?id=6130&amp;state=0" \t "http://cydj.5anquan.com/UILogin/_blank" </w:instrText>
            </w:r>
            <w:r>
              <w:rPr>
                <w:rFonts w:hint="eastAsia" w:ascii="宋体" w:hAnsi="宋体" w:eastAsia="宋体" w:cs="宋体"/>
              </w:rPr>
              <w:fldChar w:fldCharType="separate"/>
            </w:r>
            <w:r>
              <w:rPr>
                <w:rFonts w:hint="eastAsia" w:ascii="宋体" w:hAnsi="宋体" w:eastAsia="宋体" w:cs="宋体"/>
                <w:sz w:val="24"/>
              </w:rPr>
              <w:t>徐美英</w:t>
            </w:r>
            <w:r>
              <w:rPr>
                <w:rFonts w:hint="eastAsia" w:ascii="宋体" w:hAnsi="宋体" w:eastAsia="宋体" w:cs="宋体"/>
                <w:sz w:val="24"/>
              </w:rPr>
              <w:fldChar w:fldCharType="end"/>
            </w:r>
          </w:p>
        </w:tc>
        <w:tc>
          <w:tcPr>
            <w:tcW w:w="2990" w:type="dxa"/>
            <w:vAlign w:val="center"/>
          </w:tcPr>
          <w:p>
            <w:pPr>
              <w:spacing w:line="240" w:lineRule="auto"/>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1600000000200750</w:t>
            </w:r>
          </w:p>
        </w:tc>
        <w:tc>
          <w:tcPr>
            <w:tcW w:w="1854" w:type="dxa"/>
            <w:vAlign w:val="center"/>
          </w:tcPr>
          <w:p>
            <w:pPr>
              <w:spacing w:line="240" w:lineRule="auto"/>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022732</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19" w:type="dxa"/>
          </w:tcPr>
          <w:p>
            <w:pPr>
              <w:spacing w:line="600" w:lineRule="exact"/>
              <w:jc w:val="center"/>
              <w:rPr>
                <w:rFonts w:hint="eastAsia" w:ascii="宋体" w:hAnsi="宋体" w:eastAsia="宋体" w:cs="宋体"/>
                <w:sz w:val="24"/>
              </w:rPr>
            </w:pPr>
            <w:r>
              <w:rPr>
                <w:rFonts w:hint="eastAsia" w:ascii="宋体" w:hAnsi="宋体" w:eastAsia="宋体" w:cs="宋体"/>
                <w:sz w:val="24"/>
              </w:rPr>
              <w:t>过程控制负责人</w:t>
            </w:r>
          </w:p>
        </w:tc>
        <w:tc>
          <w:tcPr>
            <w:tcW w:w="1143" w:type="dxa"/>
            <w:vAlign w:val="center"/>
          </w:tcPr>
          <w:p>
            <w:pPr>
              <w:spacing w:line="6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王东平</w:t>
            </w:r>
          </w:p>
        </w:tc>
        <w:tc>
          <w:tcPr>
            <w:tcW w:w="2990" w:type="dxa"/>
            <w:vAlign w:val="top"/>
          </w:tcPr>
          <w:p>
            <w:pPr>
              <w:spacing w:line="6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S011035000110202001266</w:t>
            </w:r>
          </w:p>
        </w:tc>
        <w:tc>
          <w:tcPr>
            <w:tcW w:w="1854" w:type="dxa"/>
            <w:vAlign w:val="top"/>
          </w:tcPr>
          <w:p>
            <w:pPr>
              <w:spacing w:line="6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rPr>
              <w:t>040978</w:t>
            </w:r>
          </w:p>
        </w:tc>
        <w:tc>
          <w:tcPr>
            <w:tcW w:w="1412" w:type="dxa"/>
          </w:tcPr>
          <w:p>
            <w:pPr>
              <w:spacing w:line="6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919" w:type="dxa"/>
          </w:tcPr>
          <w:p>
            <w:pPr>
              <w:spacing w:line="600" w:lineRule="exact"/>
              <w:jc w:val="center"/>
              <w:rPr>
                <w:rFonts w:hint="eastAsia" w:ascii="宋体" w:hAnsi="宋体" w:eastAsia="宋体" w:cs="宋体"/>
                <w:sz w:val="24"/>
              </w:rPr>
            </w:pPr>
            <w:r>
              <w:rPr>
                <w:rFonts w:hint="eastAsia" w:ascii="宋体" w:hAnsi="宋体" w:eastAsia="宋体" w:cs="宋体"/>
                <w:sz w:val="24"/>
              </w:rPr>
              <w:t>技术负责人</w:t>
            </w:r>
          </w:p>
        </w:tc>
        <w:tc>
          <w:tcPr>
            <w:tcW w:w="1143"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邱国强</w:t>
            </w:r>
          </w:p>
        </w:tc>
        <w:tc>
          <w:tcPr>
            <w:tcW w:w="2990"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S011035000110201000597</w:t>
            </w:r>
          </w:p>
        </w:tc>
        <w:tc>
          <w:tcPr>
            <w:tcW w:w="1854" w:type="dxa"/>
            <w:vAlign w:val="center"/>
          </w:tcPr>
          <w:p>
            <w:pPr>
              <w:spacing w:line="600" w:lineRule="exact"/>
              <w:jc w:val="center"/>
              <w:rPr>
                <w:rFonts w:hint="eastAsia" w:ascii="宋体" w:hAnsi="宋体" w:eastAsia="宋体" w:cs="宋体"/>
                <w:sz w:val="24"/>
              </w:rPr>
            </w:pPr>
            <w:r>
              <w:rPr>
                <w:rFonts w:hint="eastAsia" w:ascii="宋体" w:hAnsi="宋体" w:eastAsia="宋体" w:cs="宋体"/>
                <w:sz w:val="24"/>
              </w:rPr>
              <w:t>022186</w:t>
            </w:r>
          </w:p>
        </w:tc>
        <w:tc>
          <w:tcPr>
            <w:tcW w:w="1412" w:type="dxa"/>
          </w:tcPr>
          <w:p>
            <w:pPr>
              <w:spacing w:line="600" w:lineRule="exact"/>
              <w:jc w:val="center"/>
              <w:rPr>
                <w:rFonts w:hint="eastAsia" w:ascii="宋体" w:hAnsi="宋体" w:eastAsia="宋体" w:cs="宋体"/>
                <w:sz w:val="24"/>
              </w:rPr>
            </w:pPr>
          </w:p>
        </w:tc>
      </w:tr>
    </w:tbl>
    <w:p>
      <w:pPr>
        <w:rPr>
          <w:rFonts w:hint="eastAsia" w:ascii="宋体" w:hAnsi="宋体" w:eastAsia="宋体" w:cs="宋体"/>
          <w:szCs w:val="28"/>
        </w:rPr>
      </w:pPr>
      <w:bookmarkStart w:id="7" w:name="_Toc14499"/>
      <w:bookmarkStart w:id="8" w:name="_Toc2208"/>
      <w:bookmarkStart w:id="9" w:name="_Toc7656"/>
      <w:r>
        <w:rPr>
          <w:rFonts w:hint="eastAsia" w:ascii="宋体" w:hAnsi="宋体" w:eastAsia="宋体" w:cs="宋体"/>
          <w:szCs w:val="28"/>
        </w:rPr>
        <w:t>参与人员：杜凡奇</w:t>
      </w:r>
      <w:r>
        <w:rPr>
          <w:rFonts w:hint="eastAsia" w:ascii="宋体" w:hAnsi="宋体" w:eastAsia="宋体" w:cs="宋体"/>
          <w:szCs w:val="28"/>
        </w:rPr>
        <w:br w:type="page"/>
      </w:r>
    </w:p>
    <w:p>
      <w:pPr>
        <w:spacing w:line="580" w:lineRule="exact"/>
        <w:jc w:val="center"/>
        <w:outlineLvl w:val="9"/>
        <w:rPr>
          <w:rFonts w:hint="eastAsia" w:ascii="宋体" w:hAnsi="宋体" w:eastAsia="宋体" w:cs="宋体"/>
          <w:szCs w:val="28"/>
        </w:rPr>
      </w:pPr>
      <w:bookmarkStart w:id="10" w:name="_Toc9049"/>
      <w:bookmarkStart w:id="11" w:name="_Toc11728"/>
      <w:r>
        <w:rPr>
          <w:rFonts w:hint="eastAsia" w:ascii="宋体" w:hAnsi="宋体" w:eastAsia="宋体" w:cs="宋体"/>
          <w:szCs w:val="28"/>
        </w:rPr>
        <w:t>前   言</w:t>
      </w:r>
      <w:bookmarkEnd w:id="7"/>
      <w:bookmarkEnd w:id="8"/>
      <w:bookmarkEnd w:id="9"/>
      <w:bookmarkEnd w:id="10"/>
      <w:bookmarkEnd w:id="11"/>
    </w:p>
    <w:p>
      <w:pPr>
        <w:spacing w:line="580" w:lineRule="exact"/>
        <w:ind w:firstLine="520" w:firstLineChars="200"/>
        <w:rPr>
          <w:rFonts w:hint="eastAsia" w:ascii="宋体" w:hAnsi="宋体" w:eastAsia="宋体" w:cs="宋体"/>
          <w:szCs w:val="28"/>
        </w:rPr>
      </w:pPr>
      <w:r>
        <w:rPr>
          <w:rFonts w:hint="eastAsia" w:ascii="宋体" w:hAnsi="宋体" w:eastAsia="宋体" w:cs="宋体"/>
          <w:spacing w:val="-10"/>
          <w:szCs w:val="28"/>
        </w:rPr>
        <w:t>江西乾</w:t>
      </w:r>
      <w:r>
        <w:rPr>
          <w:rFonts w:hint="eastAsia" w:ascii="宋体" w:hAnsi="宋体" w:eastAsia="宋体" w:cs="宋体"/>
          <w:spacing w:val="-9"/>
          <w:szCs w:val="28"/>
        </w:rPr>
        <w:t>照</w:t>
      </w:r>
      <w:r>
        <w:rPr>
          <w:rFonts w:hint="eastAsia" w:ascii="宋体" w:hAnsi="宋体" w:eastAsia="宋体" w:cs="宋体"/>
          <w:spacing w:val="-5"/>
          <w:szCs w:val="28"/>
        </w:rPr>
        <w:t>光电有限公司成立于 2017 年 7 月，注册资本 20 亿元人民币，</w:t>
      </w:r>
      <w:r>
        <w:rPr>
          <w:rFonts w:hint="eastAsia" w:ascii="宋体" w:hAnsi="宋体" w:eastAsia="宋体" w:cs="宋体"/>
          <w:szCs w:val="28"/>
        </w:rPr>
        <w:t xml:space="preserve"> </w:t>
      </w:r>
      <w:r>
        <w:rPr>
          <w:rFonts w:hint="eastAsia" w:ascii="宋体" w:hAnsi="宋体" w:eastAsia="宋体" w:cs="宋体"/>
          <w:spacing w:val="-4"/>
          <w:szCs w:val="28"/>
        </w:rPr>
        <w:t>系厦门</w:t>
      </w:r>
      <w:r>
        <w:rPr>
          <w:rFonts w:hint="eastAsia" w:ascii="宋体" w:hAnsi="宋体" w:eastAsia="宋体" w:cs="宋体"/>
          <w:spacing w:val="-3"/>
          <w:szCs w:val="28"/>
        </w:rPr>
        <w:t>乾</w:t>
      </w:r>
      <w:r>
        <w:rPr>
          <w:rFonts w:hint="eastAsia" w:ascii="宋体" w:hAnsi="宋体" w:eastAsia="宋体" w:cs="宋体"/>
          <w:spacing w:val="-2"/>
          <w:szCs w:val="28"/>
        </w:rPr>
        <w:t>照光电股份有限公司的全资子公司。江西乾照光电有限公司乾照光</w:t>
      </w:r>
      <w:r>
        <w:rPr>
          <w:rFonts w:hint="eastAsia" w:ascii="宋体" w:hAnsi="宋体" w:eastAsia="宋体" w:cs="宋体"/>
          <w:szCs w:val="28"/>
        </w:rPr>
        <w:t xml:space="preserve"> </w:t>
      </w:r>
      <w:r>
        <w:rPr>
          <w:rFonts w:hint="eastAsia" w:ascii="宋体" w:hAnsi="宋体" w:eastAsia="宋体" w:cs="宋体"/>
          <w:spacing w:val="-8"/>
          <w:szCs w:val="28"/>
        </w:rPr>
        <w:t>电</w:t>
      </w:r>
      <w:r>
        <w:rPr>
          <w:rFonts w:hint="eastAsia" w:ascii="宋体" w:hAnsi="宋体" w:eastAsia="宋体" w:cs="宋体"/>
          <w:spacing w:val="-5"/>
          <w:szCs w:val="28"/>
        </w:rPr>
        <w:t>南</w:t>
      </w:r>
      <w:r>
        <w:rPr>
          <w:rFonts w:hint="eastAsia" w:ascii="宋体" w:hAnsi="宋体" w:eastAsia="宋体" w:cs="宋体"/>
          <w:spacing w:val="-4"/>
          <w:szCs w:val="28"/>
        </w:rPr>
        <w:t>昌基地项目建于望城新区宁远大街 1288 号，根据《国民经济行业分类》</w:t>
      </w:r>
      <w:r>
        <w:rPr>
          <w:rFonts w:hint="eastAsia" w:ascii="宋体" w:hAnsi="宋体" w:eastAsia="宋体" w:cs="宋体"/>
          <w:szCs w:val="28"/>
        </w:rPr>
        <w:t xml:space="preserve"> </w:t>
      </w:r>
      <w:r>
        <w:rPr>
          <w:rFonts w:hint="eastAsia" w:ascii="宋体" w:hAnsi="宋体" w:eastAsia="宋体" w:cs="宋体"/>
          <w:spacing w:val="-4"/>
          <w:szCs w:val="28"/>
        </w:rPr>
        <w:t>(</w:t>
      </w:r>
      <w:r>
        <w:rPr>
          <w:rFonts w:hint="eastAsia" w:ascii="宋体" w:hAnsi="宋体" w:eastAsia="宋体" w:cs="宋体"/>
          <w:spacing w:val="-2"/>
          <w:szCs w:val="28"/>
        </w:rPr>
        <w:t>GB</w:t>
      </w:r>
      <w:r>
        <w:rPr>
          <w:rFonts w:hint="eastAsia" w:ascii="宋体" w:hAnsi="宋体" w:eastAsia="宋体" w:cs="宋体"/>
          <w:spacing w:val="-4"/>
          <w:szCs w:val="28"/>
        </w:rPr>
        <w:t>/</w:t>
      </w:r>
      <w:r>
        <w:rPr>
          <w:rFonts w:hint="eastAsia" w:ascii="宋体" w:hAnsi="宋体" w:eastAsia="宋体" w:cs="宋体"/>
          <w:spacing w:val="-2"/>
          <w:szCs w:val="28"/>
        </w:rPr>
        <w:t>T</w:t>
      </w:r>
      <w:r>
        <w:rPr>
          <w:rFonts w:hint="eastAsia" w:ascii="宋体" w:hAnsi="宋体" w:eastAsia="宋体" w:cs="宋体"/>
          <w:spacing w:val="-4"/>
          <w:szCs w:val="28"/>
        </w:rPr>
        <w:t>4754-2017) 及其修改单 (</w:t>
      </w:r>
      <w:r>
        <w:rPr>
          <w:rFonts w:hint="eastAsia" w:ascii="宋体" w:hAnsi="宋体" w:eastAsia="宋体" w:cs="宋体"/>
          <w:spacing w:val="-2"/>
          <w:szCs w:val="28"/>
        </w:rPr>
        <w:t>GB</w:t>
      </w:r>
      <w:r>
        <w:rPr>
          <w:rFonts w:hint="eastAsia" w:ascii="宋体" w:hAnsi="宋体" w:eastAsia="宋体" w:cs="宋体"/>
          <w:spacing w:val="-3"/>
          <w:szCs w:val="28"/>
        </w:rPr>
        <w:t>/</w:t>
      </w:r>
      <w:r>
        <w:rPr>
          <w:rFonts w:hint="eastAsia" w:ascii="宋体" w:hAnsi="宋体" w:eastAsia="宋体" w:cs="宋体"/>
          <w:spacing w:val="-2"/>
          <w:szCs w:val="28"/>
        </w:rPr>
        <w:t>T4754-2017/XG1-2019) ，该项目所属</w:t>
      </w:r>
      <w:r>
        <w:rPr>
          <w:rFonts w:hint="eastAsia" w:ascii="宋体" w:hAnsi="宋体" w:eastAsia="宋体" w:cs="宋体"/>
          <w:szCs w:val="28"/>
        </w:rPr>
        <w:t xml:space="preserve"> </w:t>
      </w:r>
      <w:r>
        <w:rPr>
          <w:rFonts w:hint="eastAsia" w:ascii="宋体" w:hAnsi="宋体" w:eastAsia="宋体" w:cs="宋体"/>
          <w:spacing w:val="-6"/>
          <w:szCs w:val="28"/>
        </w:rPr>
        <w:t>行业为光电子器件制造</w:t>
      </w:r>
      <w:r>
        <w:rPr>
          <w:rFonts w:hint="eastAsia" w:ascii="宋体" w:hAnsi="宋体" w:eastAsia="宋体" w:cs="宋体"/>
          <w:spacing w:val="-3"/>
          <w:szCs w:val="28"/>
        </w:rPr>
        <w:t>，行业代码为 C3976</w:t>
      </w:r>
      <w:r>
        <w:rPr>
          <w:rFonts w:hint="eastAsia" w:ascii="宋体" w:hAnsi="宋体" w:eastAsia="宋体" w:cs="宋体"/>
          <w:szCs w:val="28"/>
        </w:rPr>
        <w:t>。该企业目前已建设并运行月产60万片规模蓝绿芯片生产基地（一期），并于2021年10月取得了由南昌安达安全技术咨询限公司出具的安全验收评价报告。由于该企业副产品氨水需要办理危险化学品经营许可证，故委托江西赣昌安全生产科技服务有限公司承担该企业氨回收装置的安全现状评价工作。</w:t>
      </w:r>
    </w:p>
    <w:p>
      <w:pPr>
        <w:autoSpaceDE w:val="0"/>
        <w:autoSpaceDN w:val="0"/>
        <w:adjustRightInd w:val="0"/>
        <w:spacing w:line="580" w:lineRule="exact"/>
        <w:ind w:firstLine="560" w:firstLineChars="200"/>
        <w:rPr>
          <w:rFonts w:hint="eastAsia" w:ascii="宋体" w:hAnsi="宋体" w:eastAsia="宋体" w:cs="宋体"/>
          <w:szCs w:val="28"/>
        </w:rPr>
      </w:pPr>
      <w:r>
        <w:rPr>
          <w:rFonts w:hint="eastAsia" w:ascii="宋体" w:hAnsi="宋体" w:eastAsia="宋体" w:cs="宋体"/>
          <w:szCs w:val="28"/>
        </w:rPr>
        <w:t>该企业氨回收装置涉及的物料中氨水(20-22%）、氨气</w:t>
      </w:r>
      <w:r>
        <w:rPr>
          <w:rFonts w:hint="eastAsia" w:ascii="宋体" w:hAnsi="宋体" w:eastAsia="宋体" w:cs="宋体"/>
        </w:rPr>
        <w:t>、氢气（尾气直排）</w:t>
      </w:r>
      <w:r>
        <w:rPr>
          <w:rFonts w:hint="eastAsia" w:ascii="宋体" w:hAnsi="宋体" w:eastAsia="宋体" w:cs="宋体"/>
          <w:szCs w:val="28"/>
        </w:rPr>
        <w:t>属于《危险化学品目录》（2015年版）的危化品，未构成危险化学品重大危险源，未涉及易制毒化学品，未涉及监控化学品，未涉及剧毒化学品，未涉及易制爆危险化学品，氨气为高毒物品，不涉及易制爆危险化学品辨识，无重点监管的危险化学工艺，氨气、氢气为重点监管危险化学品。</w:t>
      </w:r>
    </w:p>
    <w:p>
      <w:pPr>
        <w:spacing w:line="580" w:lineRule="exact"/>
        <w:ind w:firstLine="560" w:firstLineChars="200"/>
        <w:rPr>
          <w:rFonts w:hint="eastAsia" w:ascii="宋体" w:hAnsi="宋体" w:eastAsia="宋体" w:cs="宋体"/>
          <w:szCs w:val="28"/>
        </w:rPr>
      </w:pPr>
      <w:r>
        <w:rPr>
          <w:rFonts w:hint="eastAsia" w:ascii="宋体" w:hAnsi="宋体" w:eastAsia="宋体" w:cs="宋体"/>
          <w:szCs w:val="28"/>
        </w:rPr>
        <w:t>受江西乾照光电有限公司的委托，江西赣昌安全生产科技服务有限公司承担江西乾照光电有限公司氨回收装置的安全现状评价工作，并于2022年4月组织了安全评价小组，按有关要求，进行了资料的准备、现场检查。在此基础上出具了本评价报告，作为江西乾照光电有限公司申请氨水危险化学品经营许可证的技术依据。本报告根据现场评价时企业的生产现状和企业提供的有关资料及有关负责人对装置的介绍进行编制，江西乾照光电有限公司对本报告涉及的有关原始资料的真实性负责。</w:t>
      </w:r>
    </w:p>
    <w:p>
      <w:pPr>
        <w:spacing w:line="580" w:lineRule="exact"/>
        <w:ind w:firstLine="560" w:firstLineChars="200"/>
        <w:rPr>
          <w:rFonts w:hint="eastAsia" w:ascii="宋体" w:hAnsi="宋体" w:eastAsia="宋体" w:cs="宋体"/>
          <w:szCs w:val="28"/>
        </w:rPr>
      </w:pPr>
      <w:r>
        <w:rPr>
          <w:rFonts w:hint="eastAsia" w:ascii="宋体" w:hAnsi="宋体" w:eastAsia="宋体" w:cs="宋体"/>
          <w:szCs w:val="28"/>
        </w:rPr>
        <w:t>报告在编制过程中，得到了有关部门及相关领导、专家、同仁的大力支持，在此深表谢意！同时在编写过程中可能存在的不妥之处，请赐教！</w:t>
      </w:r>
    </w:p>
    <w:p>
      <w:pPr>
        <w:pStyle w:val="40"/>
        <w:pageBreakBefore w:val="0"/>
        <w:kinsoku/>
        <w:wordWrap/>
        <w:overflowPunct/>
        <w:topLinePunct w:val="0"/>
        <w:autoSpaceDE/>
        <w:autoSpaceDN/>
        <w:bidi w:val="0"/>
        <w:adjustRightInd/>
        <w:snapToGrid/>
        <w:spacing w:before="0" w:line="480" w:lineRule="exact"/>
        <w:jc w:val="center"/>
        <w:textAlignment w:val="auto"/>
        <w:rPr>
          <w:rFonts w:hint="eastAsia" w:ascii="宋体" w:hAnsi="宋体" w:eastAsia="宋体" w:cs="宋体"/>
          <w:b/>
          <w:bCs/>
          <w:color w:val="365F91"/>
          <w:kern w:val="0"/>
          <w:sz w:val="28"/>
          <w:szCs w:val="28"/>
          <w:lang w:val="zh-CN" w:eastAsia="zh-CN" w:bidi="ar-SA"/>
        </w:rPr>
      </w:pPr>
      <w:r>
        <w:rPr>
          <w:rFonts w:hint="eastAsia" w:ascii="宋体" w:hAnsi="宋体" w:eastAsia="宋体" w:cs="宋体"/>
          <w:color w:val="auto"/>
        </w:rPr>
        <w:br w:type="page"/>
      </w:r>
      <w:bookmarkStart w:id="12" w:name="_Toc16307"/>
      <w:bookmarkStart w:id="13" w:name="_Toc18364"/>
      <w:r>
        <w:rPr>
          <w:rFonts w:hint="eastAsia" w:ascii="宋体" w:hAnsi="宋体" w:eastAsia="宋体" w:cs="宋体"/>
          <w:b w:val="0"/>
          <w:color w:val="auto"/>
          <w:lang w:val="zh-CN"/>
        </w:rPr>
        <w:t>目 录</w:t>
      </w:r>
      <w:bookmarkEnd w:id="12"/>
      <w:bookmarkEnd w:id="13"/>
      <w:bookmarkStart w:id="14" w:name="_Toc13624"/>
      <w:bookmarkStart w:id="15" w:name="_Toc19676"/>
      <w:bookmarkStart w:id="16" w:name="_Toc12351"/>
      <w:r>
        <w:rPr>
          <w:rFonts w:hint="eastAsia" w:ascii="宋体" w:hAnsi="宋体" w:eastAsia="宋体" w:cs="宋体"/>
          <w:color w:val="auto"/>
          <w:lang w:val="zh-CN"/>
        </w:rPr>
        <w:fldChar w:fldCharType="begin"/>
      </w:r>
      <w:r>
        <w:rPr>
          <w:rFonts w:hint="eastAsia" w:ascii="宋体" w:hAnsi="宋体" w:eastAsia="宋体" w:cs="宋体"/>
          <w:color w:val="auto"/>
          <w:lang w:val="zh-CN"/>
        </w:rPr>
        <w:instrText xml:space="preserve">TOC \o "1-2" \h \u </w:instrText>
      </w:r>
      <w:r>
        <w:rPr>
          <w:rFonts w:hint="eastAsia" w:ascii="宋体" w:hAnsi="宋体" w:eastAsia="宋体" w:cs="宋体"/>
          <w:color w:val="auto"/>
          <w:lang w:val="zh-CN"/>
        </w:rPr>
        <w:fldChar w:fldCharType="separate"/>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_Toc26025 </w:instrText>
      </w:r>
      <w:r>
        <w:rPr>
          <w:rFonts w:hint="eastAsia" w:ascii="宋体" w:hAnsi="宋体" w:eastAsia="宋体" w:cs="宋体"/>
          <w:bCs/>
          <w:szCs w:val="28"/>
          <w:lang w:val="zh-CN"/>
        </w:rPr>
        <w:fldChar w:fldCharType="separate"/>
      </w:r>
      <w:r>
        <w:rPr>
          <w:rFonts w:hint="eastAsia" w:ascii="宋体" w:hAnsi="宋体" w:eastAsia="宋体" w:cs="宋体"/>
        </w:rPr>
        <w:t>1、评价概述</w:t>
      </w:r>
      <w:r>
        <w:tab/>
      </w:r>
      <w:r>
        <w:fldChar w:fldCharType="begin"/>
      </w:r>
      <w:r>
        <w:instrText xml:space="preserve"> PAGEREF _Toc26025 \h </w:instrText>
      </w:r>
      <w:r>
        <w:fldChar w:fldCharType="separate"/>
      </w:r>
      <w:r>
        <w:t>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_Toc13226 </w:instrText>
      </w:r>
      <w:r>
        <w:rPr>
          <w:rFonts w:hint="eastAsia" w:ascii="宋体" w:hAnsi="宋体" w:eastAsia="宋体" w:cs="宋体"/>
          <w:bCs/>
          <w:szCs w:val="28"/>
          <w:lang w:val="zh-CN"/>
        </w:rPr>
        <w:fldChar w:fldCharType="separate"/>
      </w:r>
      <w:r>
        <w:rPr>
          <w:rFonts w:hint="eastAsia" w:ascii="宋体" w:hAnsi="宋体" w:eastAsia="宋体" w:cs="宋体"/>
          <w:szCs w:val="30"/>
        </w:rPr>
        <w:t>1.1评价目的</w:t>
      </w:r>
      <w:r>
        <w:tab/>
      </w:r>
      <w:r>
        <w:fldChar w:fldCharType="begin"/>
      </w:r>
      <w:r>
        <w:instrText xml:space="preserve"> PAGEREF _Toc13226 \h </w:instrText>
      </w:r>
      <w:r>
        <w:fldChar w:fldCharType="separate"/>
      </w:r>
      <w:r>
        <w:t>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_Toc16012 </w:instrText>
      </w:r>
      <w:r>
        <w:rPr>
          <w:rFonts w:hint="eastAsia" w:ascii="宋体" w:hAnsi="宋体" w:eastAsia="宋体" w:cs="宋体"/>
          <w:bCs/>
          <w:szCs w:val="28"/>
          <w:lang w:val="zh-CN"/>
        </w:rPr>
        <w:fldChar w:fldCharType="separate"/>
      </w:r>
      <w:r>
        <w:rPr>
          <w:rFonts w:hint="eastAsia" w:ascii="宋体" w:hAnsi="宋体" w:eastAsia="宋体" w:cs="宋体"/>
          <w:szCs w:val="30"/>
        </w:rPr>
        <w:t>1.2评价原则</w:t>
      </w:r>
      <w:r>
        <w:tab/>
      </w:r>
      <w:r>
        <w:fldChar w:fldCharType="begin"/>
      </w:r>
      <w:r>
        <w:instrText xml:space="preserve"> PAGEREF _Toc16012 \h </w:instrText>
      </w:r>
      <w:r>
        <w:fldChar w:fldCharType="separate"/>
      </w:r>
      <w:r>
        <w:t>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_Toc18338 </w:instrText>
      </w:r>
      <w:r>
        <w:rPr>
          <w:rFonts w:hint="eastAsia" w:ascii="宋体" w:hAnsi="宋体" w:eastAsia="宋体" w:cs="宋体"/>
          <w:bCs/>
          <w:szCs w:val="28"/>
          <w:lang w:val="zh-CN"/>
        </w:rPr>
        <w:fldChar w:fldCharType="separate"/>
      </w:r>
      <w:r>
        <w:rPr>
          <w:rFonts w:hint="eastAsia" w:ascii="宋体" w:hAnsi="宋体" w:eastAsia="宋体" w:cs="宋体"/>
          <w:szCs w:val="30"/>
        </w:rPr>
        <w:t>1.3安全现状评价主要依据</w:t>
      </w:r>
      <w:r>
        <w:tab/>
      </w:r>
      <w:r>
        <w:fldChar w:fldCharType="begin"/>
      </w:r>
      <w:r>
        <w:instrText xml:space="preserve"> PAGEREF _Toc18338 \h </w:instrText>
      </w:r>
      <w:r>
        <w:fldChar w:fldCharType="separate"/>
      </w:r>
      <w:r>
        <w:t>2</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_Toc21987 </w:instrText>
      </w:r>
      <w:r>
        <w:rPr>
          <w:rFonts w:hint="eastAsia" w:ascii="宋体" w:hAnsi="宋体" w:eastAsia="宋体" w:cs="宋体"/>
          <w:bCs/>
          <w:szCs w:val="28"/>
          <w:lang w:val="zh-CN"/>
        </w:rPr>
        <w:fldChar w:fldCharType="separate"/>
      </w:r>
      <w:r>
        <w:rPr>
          <w:rFonts w:hint="eastAsia" w:ascii="宋体" w:hAnsi="宋体" w:eastAsia="宋体" w:cs="宋体"/>
          <w:szCs w:val="30"/>
        </w:rPr>
        <w:t>1.4安全现状评价范围</w:t>
      </w:r>
      <w:r>
        <w:tab/>
      </w:r>
      <w:r>
        <w:fldChar w:fldCharType="begin"/>
      </w:r>
      <w:r>
        <w:instrText xml:space="preserve"> PAGEREF _Toc21987 \h </w:instrText>
      </w:r>
      <w:r>
        <w:fldChar w:fldCharType="separate"/>
      </w:r>
      <w:r>
        <w:t>8</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_Toc31368 </w:instrText>
      </w:r>
      <w:r>
        <w:rPr>
          <w:rFonts w:hint="eastAsia" w:ascii="宋体" w:hAnsi="宋体" w:eastAsia="宋体" w:cs="宋体"/>
          <w:bCs/>
          <w:szCs w:val="28"/>
          <w:lang w:val="zh-CN"/>
        </w:rPr>
        <w:fldChar w:fldCharType="separate"/>
      </w:r>
      <w:r>
        <w:rPr>
          <w:rFonts w:hint="eastAsia" w:ascii="宋体" w:hAnsi="宋体" w:eastAsia="宋体" w:cs="宋体"/>
          <w:szCs w:val="30"/>
        </w:rPr>
        <w:t>1.5安全现状评价程序</w:t>
      </w:r>
      <w:r>
        <w:tab/>
      </w:r>
      <w:r>
        <w:fldChar w:fldCharType="begin"/>
      </w:r>
      <w:r>
        <w:instrText xml:space="preserve"> PAGEREF _Toc31368 \h </w:instrText>
      </w:r>
      <w:r>
        <w:fldChar w:fldCharType="separate"/>
      </w:r>
      <w:r>
        <w:t>8</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_Toc31372 </w:instrText>
      </w:r>
      <w:r>
        <w:rPr>
          <w:rFonts w:hint="eastAsia" w:ascii="宋体" w:hAnsi="宋体" w:eastAsia="宋体" w:cs="宋体"/>
          <w:bCs/>
          <w:szCs w:val="28"/>
          <w:lang w:val="zh-CN"/>
        </w:rPr>
        <w:fldChar w:fldCharType="separate"/>
      </w:r>
      <w:r>
        <w:rPr>
          <w:rFonts w:hint="eastAsia" w:ascii="宋体" w:hAnsi="宋体" w:eastAsia="宋体" w:cs="宋体"/>
        </w:rPr>
        <w:t>2、建设项目概况</w:t>
      </w:r>
      <w:r>
        <w:tab/>
      </w:r>
      <w:r>
        <w:fldChar w:fldCharType="begin"/>
      </w:r>
      <w:r>
        <w:instrText xml:space="preserve"> PAGEREF _Toc31372 \h </w:instrText>
      </w:r>
      <w:r>
        <w:fldChar w:fldCharType="separate"/>
      </w:r>
      <w:r>
        <w:t>10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_Toc23572 </w:instrText>
      </w:r>
      <w:r>
        <w:rPr>
          <w:rFonts w:hint="eastAsia" w:ascii="宋体" w:hAnsi="宋体" w:eastAsia="宋体" w:cs="宋体"/>
          <w:bCs/>
          <w:szCs w:val="28"/>
          <w:lang w:val="zh-CN"/>
        </w:rPr>
        <w:fldChar w:fldCharType="separate"/>
      </w:r>
      <w:r>
        <w:rPr>
          <w:rFonts w:hint="eastAsia" w:ascii="宋体" w:hAnsi="宋体" w:eastAsia="宋体" w:cs="宋体"/>
          <w:szCs w:val="30"/>
        </w:rPr>
        <w:t>2.1建设单位概况</w:t>
      </w:r>
      <w:r>
        <w:tab/>
      </w:r>
      <w:r>
        <w:fldChar w:fldCharType="begin"/>
      </w:r>
      <w:r>
        <w:instrText xml:space="preserve"> PAGEREF _Toc23572 \h </w:instrText>
      </w:r>
      <w:r>
        <w:fldChar w:fldCharType="separate"/>
      </w:r>
      <w:r>
        <w:t>10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_Toc20595 </w:instrText>
      </w:r>
      <w:r>
        <w:rPr>
          <w:rFonts w:hint="eastAsia" w:ascii="宋体" w:hAnsi="宋体" w:eastAsia="宋体" w:cs="宋体"/>
          <w:bCs/>
          <w:szCs w:val="28"/>
          <w:lang w:val="zh-CN"/>
        </w:rPr>
        <w:fldChar w:fldCharType="separate"/>
      </w:r>
      <w:r>
        <w:rPr>
          <w:rFonts w:hint="eastAsia" w:ascii="宋体" w:hAnsi="宋体" w:eastAsia="宋体" w:cs="宋体"/>
          <w:szCs w:val="30"/>
        </w:rPr>
        <w:t>2.2地理位置与周边环境</w:t>
      </w:r>
      <w:r>
        <w:tab/>
      </w:r>
      <w:r>
        <w:fldChar w:fldCharType="begin"/>
      </w:r>
      <w:r>
        <w:instrText xml:space="preserve"> PAGEREF _Toc20595 \h </w:instrText>
      </w:r>
      <w:r>
        <w:fldChar w:fldCharType="separate"/>
      </w:r>
      <w:r>
        <w:t>10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_Toc12135 </w:instrText>
      </w:r>
      <w:r>
        <w:rPr>
          <w:rFonts w:hint="eastAsia" w:ascii="宋体" w:hAnsi="宋体" w:eastAsia="宋体" w:cs="宋体"/>
          <w:bCs/>
          <w:szCs w:val="28"/>
          <w:lang w:val="zh-CN"/>
        </w:rPr>
        <w:fldChar w:fldCharType="separate"/>
      </w:r>
      <w:r>
        <w:rPr>
          <w:rFonts w:hint="eastAsia" w:ascii="宋体" w:hAnsi="宋体" w:eastAsia="宋体" w:cs="宋体"/>
          <w:szCs w:val="30"/>
        </w:rPr>
        <w:t>2.3总平面布置</w:t>
      </w:r>
      <w:r>
        <w:tab/>
      </w:r>
      <w:r>
        <w:fldChar w:fldCharType="begin"/>
      </w:r>
      <w:r>
        <w:instrText xml:space="preserve"> PAGEREF _Toc12135 \h </w:instrText>
      </w:r>
      <w:r>
        <w:fldChar w:fldCharType="separate"/>
      </w:r>
      <w:r>
        <w:t>14</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_Toc2438 </w:instrText>
      </w:r>
      <w:r>
        <w:rPr>
          <w:rFonts w:hint="eastAsia" w:ascii="宋体" w:hAnsi="宋体" w:eastAsia="宋体" w:cs="宋体"/>
          <w:bCs/>
          <w:szCs w:val="28"/>
          <w:lang w:val="zh-CN"/>
        </w:rPr>
        <w:fldChar w:fldCharType="separate"/>
      </w:r>
      <w:r>
        <w:rPr>
          <w:rFonts w:hint="eastAsia" w:ascii="宋体" w:hAnsi="宋体" w:eastAsia="宋体" w:cs="宋体"/>
          <w:szCs w:val="30"/>
        </w:rPr>
        <w:t>2.4工艺流程及主要设备</w:t>
      </w:r>
      <w:r>
        <w:tab/>
      </w:r>
      <w:r>
        <w:fldChar w:fldCharType="begin"/>
      </w:r>
      <w:r>
        <w:instrText xml:space="preserve"> PAGEREF _Toc2438 \h </w:instrText>
      </w:r>
      <w:r>
        <w:fldChar w:fldCharType="separate"/>
      </w:r>
      <w:r>
        <w:t>15</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_Toc21666 </w:instrText>
      </w:r>
      <w:r>
        <w:rPr>
          <w:rFonts w:hint="eastAsia" w:ascii="宋体" w:hAnsi="宋体" w:eastAsia="宋体" w:cs="宋体"/>
          <w:bCs/>
          <w:szCs w:val="28"/>
          <w:lang w:val="zh-CN"/>
        </w:rPr>
        <w:fldChar w:fldCharType="separate"/>
      </w:r>
      <w:r>
        <w:rPr>
          <w:rFonts w:hint="eastAsia" w:ascii="宋体" w:hAnsi="宋体" w:eastAsia="宋体" w:cs="宋体"/>
          <w:szCs w:val="30"/>
        </w:rPr>
        <w:t>2.5公用工程</w:t>
      </w:r>
      <w:r>
        <w:tab/>
      </w:r>
      <w:r>
        <w:fldChar w:fldCharType="begin"/>
      </w:r>
      <w:r>
        <w:instrText xml:space="preserve"> PAGEREF _Toc21666 \h </w:instrText>
      </w:r>
      <w:r>
        <w:fldChar w:fldCharType="separate"/>
      </w:r>
      <w:r>
        <w:t>21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_Toc27539 </w:instrText>
      </w:r>
      <w:r>
        <w:rPr>
          <w:rFonts w:hint="eastAsia" w:ascii="宋体" w:hAnsi="宋体" w:eastAsia="宋体" w:cs="宋体"/>
          <w:bCs/>
          <w:szCs w:val="28"/>
          <w:lang w:val="zh-CN"/>
        </w:rPr>
        <w:fldChar w:fldCharType="separate"/>
      </w:r>
      <w:r>
        <w:rPr>
          <w:rFonts w:hint="eastAsia" w:ascii="宋体" w:hAnsi="宋体" w:eastAsia="宋体" w:cs="宋体"/>
          <w:szCs w:val="30"/>
        </w:rPr>
        <w:t>2.6消防及安全设施</w:t>
      </w:r>
      <w:r>
        <w:tab/>
      </w:r>
      <w:r>
        <w:fldChar w:fldCharType="begin"/>
      </w:r>
      <w:r>
        <w:instrText xml:space="preserve"> PAGEREF _Toc27539 \h </w:instrText>
      </w:r>
      <w:r>
        <w:fldChar w:fldCharType="separate"/>
      </w:r>
      <w:r>
        <w:t>25</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_Toc28643 </w:instrText>
      </w:r>
      <w:r>
        <w:rPr>
          <w:rFonts w:hint="eastAsia" w:ascii="宋体" w:hAnsi="宋体" w:eastAsia="宋体" w:cs="宋体"/>
          <w:bCs/>
          <w:szCs w:val="28"/>
          <w:lang w:val="zh-CN"/>
        </w:rPr>
        <w:fldChar w:fldCharType="separate"/>
      </w:r>
      <w:r>
        <w:rPr>
          <w:rFonts w:hint="eastAsia" w:ascii="宋体" w:hAnsi="宋体" w:eastAsia="宋体" w:cs="宋体"/>
          <w:szCs w:val="30"/>
        </w:rPr>
        <w:t>2.7安全管理</w:t>
      </w:r>
      <w:r>
        <w:tab/>
      </w:r>
      <w:r>
        <w:fldChar w:fldCharType="begin"/>
      </w:r>
      <w:r>
        <w:instrText xml:space="preserve"> PAGEREF _Toc28643 \h </w:instrText>
      </w:r>
      <w:r>
        <w:fldChar w:fldCharType="separate"/>
      </w:r>
      <w:r>
        <w:t>27</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_Toc12725 </w:instrText>
      </w:r>
      <w:r>
        <w:rPr>
          <w:rFonts w:hint="eastAsia" w:ascii="宋体" w:hAnsi="宋体" w:eastAsia="宋体" w:cs="宋体"/>
          <w:bCs/>
          <w:szCs w:val="28"/>
          <w:lang w:val="zh-CN"/>
        </w:rPr>
        <w:fldChar w:fldCharType="separate"/>
      </w:r>
      <w:r>
        <w:rPr>
          <w:rFonts w:hint="eastAsia" w:ascii="宋体" w:hAnsi="宋体" w:eastAsia="宋体" w:cs="宋体"/>
          <w:szCs w:val="30"/>
        </w:rPr>
        <w:t>2.8事故应急预案</w:t>
      </w:r>
      <w:r>
        <w:tab/>
      </w:r>
      <w:r>
        <w:fldChar w:fldCharType="begin"/>
      </w:r>
      <w:r>
        <w:instrText xml:space="preserve"> PAGEREF _Toc12725 \h </w:instrText>
      </w:r>
      <w:r>
        <w:fldChar w:fldCharType="separate"/>
      </w:r>
      <w:r>
        <w:t>30</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_Toc16748 </w:instrText>
      </w:r>
      <w:r>
        <w:rPr>
          <w:rFonts w:hint="eastAsia" w:ascii="宋体" w:hAnsi="宋体" w:eastAsia="宋体" w:cs="宋体"/>
          <w:bCs/>
          <w:szCs w:val="28"/>
          <w:lang w:val="zh-CN"/>
        </w:rPr>
        <w:fldChar w:fldCharType="separate"/>
      </w:r>
      <w:r>
        <w:rPr>
          <w:rFonts w:hint="eastAsia" w:ascii="宋体" w:hAnsi="宋体" w:eastAsia="宋体" w:cs="宋体"/>
        </w:rPr>
        <w:t>3、危险、有害因素分析</w:t>
      </w:r>
      <w:r>
        <w:tab/>
      </w:r>
      <w:r>
        <w:fldChar w:fldCharType="begin"/>
      </w:r>
      <w:r>
        <w:instrText xml:space="preserve"> PAGEREF _Toc16748 \h </w:instrText>
      </w:r>
      <w:r>
        <w:fldChar w:fldCharType="separate"/>
      </w:r>
      <w:r>
        <w:t>31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_Toc3699 </w:instrText>
      </w:r>
      <w:r>
        <w:rPr>
          <w:rFonts w:hint="eastAsia" w:ascii="宋体" w:hAnsi="宋体" w:eastAsia="宋体" w:cs="宋体"/>
          <w:bCs/>
          <w:szCs w:val="28"/>
          <w:lang w:val="zh-CN"/>
        </w:rPr>
        <w:fldChar w:fldCharType="separate"/>
      </w:r>
      <w:r>
        <w:rPr>
          <w:rFonts w:hint="eastAsia" w:ascii="宋体" w:hAnsi="宋体" w:eastAsia="宋体" w:cs="宋体"/>
          <w:szCs w:val="30"/>
        </w:rPr>
        <w:t>3.1物质的主要危险、有害特性</w:t>
      </w:r>
      <w:r>
        <w:tab/>
      </w:r>
      <w:r>
        <w:fldChar w:fldCharType="begin"/>
      </w:r>
      <w:r>
        <w:instrText xml:space="preserve"> PAGEREF _Toc3699 \h </w:instrText>
      </w:r>
      <w:r>
        <w:fldChar w:fldCharType="separate"/>
      </w:r>
      <w:r>
        <w:t>31</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_Toc32707 </w:instrText>
      </w:r>
      <w:r>
        <w:rPr>
          <w:rFonts w:hint="eastAsia" w:ascii="宋体" w:hAnsi="宋体" w:eastAsia="宋体" w:cs="宋体"/>
          <w:bCs/>
          <w:szCs w:val="28"/>
          <w:lang w:val="zh-CN"/>
        </w:rPr>
        <w:fldChar w:fldCharType="separate"/>
      </w:r>
      <w:r>
        <w:rPr>
          <w:rFonts w:hint="eastAsia" w:ascii="宋体" w:hAnsi="宋体" w:eastAsia="宋体" w:cs="宋体"/>
          <w:szCs w:val="30"/>
        </w:rPr>
        <w:t>3.2重大危险源辨识</w:t>
      </w:r>
      <w:r>
        <w:tab/>
      </w:r>
      <w:r>
        <w:fldChar w:fldCharType="begin"/>
      </w:r>
      <w:r>
        <w:instrText xml:space="preserve"> PAGEREF _Toc32707 \h </w:instrText>
      </w:r>
      <w:r>
        <w:fldChar w:fldCharType="separate"/>
      </w:r>
      <w:r>
        <w:t>32</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_Toc31702 </w:instrText>
      </w:r>
      <w:r>
        <w:rPr>
          <w:rFonts w:hint="eastAsia" w:ascii="宋体" w:hAnsi="宋体" w:eastAsia="宋体" w:cs="宋体"/>
          <w:bCs/>
          <w:szCs w:val="28"/>
          <w:lang w:val="zh-CN"/>
        </w:rPr>
        <w:fldChar w:fldCharType="separate"/>
      </w:r>
      <w:r>
        <w:rPr>
          <w:rFonts w:hint="eastAsia" w:ascii="宋体" w:hAnsi="宋体" w:eastAsia="宋体" w:cs="宋体"/>
          <w:szCs w:val="30"/>
        </w:rPr>
        <w:t>3.3危险化学品辨识</w:t>
      </w:r>
      <w:r>
        <w:tab/>
      </w:r>
      <w:r>
        <w:fldChar w:fldCharType="begin"/>
      </w:r>
      <w:r>
        <w:instrText xml:space="preserve"> PAGEREF _Toc31702 \h </w:instrText>
      </w:r>
      <w:r>
        <w:fldChar w:fldCharType="separate"/>
      </w:r>
      <w:r>
        <w:t>34</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_Toc19464 </w:instrText>
      </w:r>
      <w:r>
        <w:rPr>
          <w:rFonts w:hint="eastAsia" w:ascii="宋体" w:hAnsi="宋体" w:eastAsia="宋体" w:cs="宋体"/>
          <w:bCs/>
          <w:szCs w:val="28"/>
          <w:lang w:val="zh-CN"/>
        </w:rPr>
        <w:fldChar w:fldCharType="separate"/>
      </w:r>
      <w:r>
        <w:rPr>
          <w:rFonts w:hint="eastAsia" w:ascii="宋体" w:hAnsi="宋体" w:eastAsia="宋体" w:cs="宋体"/>
          <w:szCs w:val="30"/>
        </w:rPr>
        <w:t>3.4工艺过程的危险因素分析</w:t>
      </w:r>
      <w:r>
        <w:tab/>
      </w:r>
      <w:r>
        <w:fldChar w:fldCharType="begin"/>
      </w:r>
      <w:r>
        <w:instrText xml:space="preserve"> PAGEREF _Toc19464 \h </w:instrText>
      </w:r>
      <w:r>
        <w:fldChar w:fldCharType="separate"/>
      </w:r>
      <w:r>
        <w:t>35</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_Toc12519 </w:instrText>
      </w:r>
      <w:r>
        <w:rPr>
          <w:rFonts w:hint="eastAsia" w:ascii="宋体" w:hAnsi="宋体" w:eastAsia="宋体" w:cs="宋体"/>
          <w:bCs/>
          <w:szCs w:val="28"/>
          <w:lang w:val="zh-CN"/>
        </w:rPr>
        <w:fldChar w:fldCharType="separate"/>
      </w:r>
      <w:r>
        <w:rPr>
          <w:rFonts w:hint="eastAsia" w:ascii="宋体" w:hAnsi="宋体" w:eastAsia="宋体" w:cs="宋体"/>
          <w:szCs w:val="30"/>
        </w:rPr>
        <w:t>3.5主要设备、设施危险性分析</w:t>
      </w:r>
      <w:r>
        <w:tab/>
      </w:r>
      <w:r>
        <w:fldChar w:fldCharType="begin"/>
      </w:r>
      <w:r>
        <w:instrText xml:space="preserve"> PAGEREF _Toc12519 \h </w:instrText>
      </w:r>
      <w:r>
        <w:fldChar w:fldCharType="separate"/>
      </w:r>
      <w:r>
        <w:t>43</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_Toc23002 </w:instrText>
      </w:r>
      <w:r>
        <w:rPr>
          <w:rFonts w:hint="eastAsia" w:ascii="宋体" w:hAnsi="宋体" w:eastAsia="宋体" w:cs="宋体"/>
          <w:bCs/>
          <w:szCs w:val="28"/>
          <w:lang w:val="zh-CN"/>
        </w:rPr>
        <w:fldChar w:fldCharType="separate"/>
      </w:r>
      <w:r>
        <w:rPr>
          <w:rFonts w:hint="eastAsia" w:ascii="宋体" w:hAnsi="宋体" w:eastAsia="宋体" w:cs="宋体"/>
          <w:szCs w:val="30"/>
        </w:rPr>
        <w:t>3.6危险、危害产生的原因分析</w:t>
      </w:r>
      <w:r>
        <w:tab/>
      </w:r>
      <w:r>
        <w:fldChar w:fldCharType="begin"/>
      </w:r>
      <w:r>
        <w:instrText xml:space="preserve"> PAGEREF _Toc23002 \h </w:instrText>
      </w:r>
      <w:r>
        <w:fldChar w:fldCharType="separate"/>
      </w:r>
      <w:r>
        <w:t>44</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_Toc4224 </w:instrText>
      </w:r>
      <w:r>
        <w:rPr>
          <w:rFonts w:hint="eastAsia" w:ascii="宋体" w:hAnsi="宋体" w:eastAsia="宋体" w:cs="宋体"/>
          <w:bCs/>
          <w:szCs w:val="28"/>
          <w:lang w:val="zh-CN"/>
        </w:rPr>
        <w:fldChar w:fldCharType="separate"/>
      </w:r>
      <w:r>
        <w:rPr>
          <w:rFonts w:hint="eastAsia" w:ascii="宋体" w:hAnsi="宋体" w:eastAsia="宋体" w:cs="宋体"/>
          <w:szCs w:val="30"/>
        </w:rPr>
        <w:t>3.7作业环境危险性分析</w:t>
      </w:r>
      <w:r>
        <w:tab/>
      </w:r>
      <w:r>
        <w:fldChar w:fldCharType="begin"/>
      </w:r>
      <w:r>
        <w:instrText xml:space="preserve"> PAGEREF _Toc4224 \h </w:instrText>
      </w:r>
      <w:r>
        <w:fldChar w:fldCharType="separate"/>
      </w:r>
      <w:r>
        <w:t>45</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_Toc28542 </w:instrText>
      </w:r>
      <w:r>
        <w:rPr>
          <w:rFonts w:hint="eastAsia" w:ascii="宋体" w:hAnsi="宋体" w:eastAsia="宋体" w:cs="宋体"/>
          <w:bCs/>
          <w:szCs w:val="28"/>
          <w:lang w:val="zh-CN"/>
        </w:rPr>
        <w:fldChar w:fldCharType="separate"/>
      </w:r>
      <w:r>
        <w:rPr>
          <w:rFonts w:hint="eastAsia" w:ascii="宋体" w:hAnsi="宋体" w:eastAsia="宋体" w:cs="宋体"/>
          <w:szCs w:val="30"/>
        </w:rPr>
        <w:t>3.8安全管理缺陷分析</w:t>
      </w:r>
      <w:r>
        <w:tab/>
      </w:r>
      <w:r>
        <w:fldChar w:fldCharType="begin"/>
      </w:r>
      <w:r>
        <w:instrText xml:space="preserve"> PAGEREF _Toc28542 \h </w:instrText>
      </w:r>
      <w:r>
        <w:fldChar w:fldCharType="separate"/>
      </w:r>
      <w:r>
        <w:t>46</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_Toc17244 </w:instrText>
      </w:r>
      <w:r>
        <w:rPr>
          <w:rFonts w:hint="eastAsia" w:ascii="宋体" w:hAnsi="宋体" w:eastAsia="宋体" w:cs="宋体"/>
          <w:bCs/>
          <w:szCs w:val="28"/>
          <w:lang w:val="zh-CN"/>
        </w:rPr>
        <w:fldChar w:fldCharType="separate"/>
      </w:r>
      <w:r>
        <w:rPr>
          <w:rFonts w:hint="eastAsia" w:ascii="宋体" w:hAnsi="宋体" w:eastAsia="宋体" w:cs="宋体"/>
          <w:szCs w:val="30"/>
        </w:rPr>
        <w:t>3.9自然危害因素</w:t>
      </w:r>
      <w:r>
        <w:tab/>
      </w:r>
      <w:r>
        <w:fldChar w:fldCharType="begin"/>
      </w:r>
      <w:r>
        <w:instrText xml:space="preserve"> PAGEREF _Toc17244 \h </w:instrText>
      </w:r>
      <w:r>
        <w:fldChar w:fldCharType="separate"/>
      </w:r>
      <w:r>
        <w:t>47</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_Toc18474 </w:instrText>
      </w:r>
      <w:r>
        <w:rPr>
          <w:rFonts w:hint="eastAsia" w:ascii="宋体" w:hAnsi="宋体" w:eastAsia="宋体" w:cs="宋体"/>
          <w:bCs/>
          <w:szCs w:val="28"/>
          <w:lang w:val="zh-CN"/>
        </w:rPr>
        <w:fldChar w:fldCharType="separate"/>
      </w:r>
      <w:r>
        <w:rPr>
          <w:rFonts w:hint="eastAsia" w:ascii="宋体" w:hAnsi="宋体" w:eastAsia="宋体" w:cs="宋体"/>
          <w:szCs w:val="30"/>
        </w:rPr>
        <w:t>3.10危险、有害因素分布</w:t>
      </w:r>
      <w:r>
        <w:tab/>
      </w:r>
      <w:r>
        <w:fldChar w:fldCharType="begin"/>
      </w:r>
      <w:r>
        <w:instrText xml:space="preserve"> PAGEREF _Toc18474 \h </w:instrText>
      </w:r>
      <w:r>
        <w:fldChar w:fldCharType="separate"/>
      </w:r>
      <w:r>
        <w:t>48</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_Toc32696 </w:instrText>
      </w:r>
      <w:r>
        <w:rPr>
          <w:rFonts w:hint="eastAsia" w:ascii="宋体" w:hAnsi="宋体" w:eastAsia="宋体" w:cs="宋体"/>
          <w:bCs/>
          <w:szCs w:val="28"/>
          <w:lang w:val="zh-CN"/>
        </w:rPr>
        <w:fldChar w:fldCharType="separate"/>
      </w:r>
      <w:r>
        <w:rPr>
          <w:rFonts w:hint="eastAsia" w:ascii="宋体" w:hAnsi="宋体" w:eastAsia="宋体" w:cs="宋体"/>
          <w:szCs w:val="30"/>
        </w:rPr>
        <w:t>3.11爆炸危险区域划分</w:t>
      </w:r>
      <w:r>
        <w:tab/>
      </w:r>
      <w:r>
        <w:fldChar w:fldCharType="begin"/>
      </w:r>
      <w:r>
        <w:instrText xml:space="preserve"> PAGEREF _Toc32696 \h </w:instrText>
      </w:r>
      <w:r>
        <w:fldChar w:fldCharType="separate"/>
      </w:r>
      <w:r>
        <w:t>49</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_Toc29079 </w:instrText>
      </w:r>
      <w:r>
        <w:rPr>
          <w:rFonts w:hint="eastAsia" w:ascii="宋体" w:hAnsi="宋体" w:eastAsia="宋体" w:cs="宋体"/>
          <w:bCs/>
          <w:szCs w:val="28"/>
          <w:lang w:val="zh-CN"/>
        </w:rPr>
        <w:fldChar w:fldCharType="separate"/>
      </w:r>
      <w:r>
        <w:rPr>
          <w:rFonts w:hint="eastAsia" w:ascii="宋体" w:hAnsi="宋体" w:eastAsia="宋体" w:cs="宋体"/>
          <w:bCs/>
          <w:kern w:val="44"/>
          <w:szCs w:val="44"/>
        </w:rPr>
        <w:t>4评价方法的选择及评价单元划分</w:t>
      </w:r>
      <w:r>
        <w:tab/>
      </w:r>
      <w:r>
        <w:fldChar w:fldCharType="begin"/>
      </w:r>
      <w:r>
        <w:instrText xml:space="preserve"> PAGEREF _Toc29079 \h </w:instrText>
      </w:r>
      <w:r>
        <w:fldChar w:fldCharType="separate"/>
      </w:r>
      <w:r>
        <w:t>50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_Toc21265 </w:instrText>
      </w:r>
      <w:r>
        <w:rPr>
          <w:rFonts w:hint="eastAsia" w:ascii="宋体" w:hAnsi="宋体" w:eastAsia="宋体" w:cs="宋体"/>
          <w:bCs/>
          <w:szCs w:val="28"/>
          <w:lang w:val="zh-CN"/>
        </w:rPr>
        <w:fldChar w:fldCharType="separate"/>
      </w:r>
      <w:r>
        <w:rPr>
          <w:rFonts w:hint="eastAsia" w:ascii="宋体" w:hAnsi="宋体" w:eastAsia="宋体" w:cs="宋体"/>
          <w:szCs w:val="30"/>
        </w:rPr>
        <w:t>4.1划分评价单元及评价方法的确定</w:t>
      </w:r>
      <w:r>
        <w:tab/>
      </w:r>
      <w:r>
        <w:fldChar w:fldCharType="begin"/>
      </w:r>
      <w:r>
        <w:instrText xml:space="preserve"> PAGEREF _Toc21265 \h </w:instrText>
      </w:r>
      <w:r>
        <w:fldChar w:fldCharType="separate"/>
      </w:r>
      <w:r>
        <w:t>50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_Toc18256 </w:instrText>
      </w:r>
      <w:r>
        <w:rPr>
          <w:rFonts w:hint="eastAsia" w:ascii="宋体" w:hAnsi="宋体" w:eastAsia="宋体" w:cs="宋体"/>
          <w:bCs/>
          <w:szCs w:val="28"/>
          <w:lang w:val="zh-CN"/>
        </w:rPr>
        <w:fldChar w:fldCharType="separate"/>
      </w:r>
      <w:r>
        <w:rPr>
          <w:rFonts w:hint="eastAsia" w:ascii="宋体" w:hAnsi="宋体" w:eastAsia="宋体" w:cs="宋体"/>
          <w:szCs w:val="30"/>
        </w:rPr>
        <w:t>4.2评价单元划分及方法选择</w:t>
      </w:r>
      <w:r>
        <w:tab/>
      </w:r>
      <w:r>
        <w:fldChar w:fldCharType="begin"/>
      </w:r>
      <w:r>
        <w:instrText xml:space="preserve"> PAGEREF _Toc18256 \h </w:instrText>
      </w:r>
      <w:r>
        <w:fldChar w:fldCharType="separate"/>
      </w:r>
      <w:r>
        <w:t>50</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_Toc9921 </w:instrText>
      </w:r>
      <w:r>
        <w:rPr>
          <w:rFonts w:hint="eastAsia" w:ascii="宋体" w:hAnsi="宋体" w:eastAsia="宋体" w:cs="宋体"/>
          <w:bCs/>
          <w:szCs w:val="28"/>
          <w:lang w:val="zh-CN"/>
        </w:rPr>
        <w:fldChar w:fldCharType="separate"/>
      </w:r>
      <w:r>
        <w:rPr>
          <w:rFonts w:hint="eastAsia" w:ascii="宋体" w:hAnsi="宋体" w:eastAsia="宋体" w:cs="宋体"/>
          <w:szCs w:val="30"/>
        </w:rPr>
        <w:t>4.3评价方法简介</w:t>
      </w:r>
      <w:r>
        <w:tab/>
      </w:r>
      <w:r>
        <w:fldChar w:fldCharType="begin"/>
      </w:r>
      <w:r>
        <w:instrText xml:space="preserve"> PAGEREF _Toc9921 \h </w:instrText>
      </w:r>
      <w:r>
        <w:fldChar w:fldCharType="separate"/>
      </w:r>
      <w:r>
        <w:t>51</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_Toc344 </w:instrText>
      </w:r>
      <w:r>
        <w:rPr>
          <w:rFonts w:hint="eastAsia" w:ascii="宋体" w:hAnsi="宋体" w:eastAsia="宋体" w:cs="宋体"/>
          <w:bCs/>
          <w:szCs w:val="28"/>
          <w:lang w:val="zh-CN"/>
        </w:rPr>
        <w:fldChar w:fldCharType="separate"/>
      </w:r>
      <w:r>
        <w:rPr>
          <w:rFonts w:hint="eastAsia" w:ascii="宋体" w:hAnsi="宋体" w:eastAsia="宋体" w:cs="宋体"/>
          <w:szCs w:val="32"/>
        </w:rPr>
        <w:t>5危险有害程度评价</w:t>
      </w:r>
      <w:r>
        <w:tab/>
      </w:r>
      <w:r>
        <w:fldChar w:fldCharType="begin"/>
      </w:r>
      <w:r>
        <w:instrText xml:space="preserve"> PAGEREF _Toc344 \h </w:instrText>
      </w:r>
      <w:r>
        <w:fldChar w:fldCharType="separate"/>
      </w:r>
      <w:r>
        <w:t>56</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_Toc16004 </w:instrText>
      </w:r>
      <w:r>
        <w:rPr>
          <w:rFonts w:hint="eastAsia" w:ascii="宋体" w:hAnsi="宋体" w:eastAsia="宋体" w:cs="宋体"/>
          <w:bCs/>
          <w:szCs w:val="28"/>
          <w:lang w:val="zh-CN"/>
        </w:rPr>
        <w:fldChar w:fldCharType="separate"/>
      </w:r>
      <w:r>
        <w:rPr>
          <w:rFonts w:hint="eastAsia" w:ascii="宋体" w:hAnsi="宋体" w:eastAsia="宋体" w:cs="宋体"/>
          <w:szCs w:val="30"/>
        </w:rPr>
        <w:t>5.1固有的危险程度分析</w:t>
      </w:r>
      <w:r>
        <w:tab/>
      </w:r>
      <w:r>
        <w:fldChar w:fldCharType="begin"/>
      </w:r>
      <w:r>
        <w:instrText xml:space="preserve"> PAGEREF _Toc16004 \h </w:instrText>
      </w:r>
      <w:r>
        <w:fldChar w:fldCharType="separate"/>
      </w:r>
      <w:r>
        <w:t>56</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_Toc14620 </w:instrText>
      </w:r>
      <w:r>
        <w:rPr>
          <w:rFonts w:hint="eastAsia" w:ascii="宋体" w:hAnsi="宋体" w:eastAsia="宋体" w:cs="宋体"/>
          <w:bCs/>
          <w:szCs w:val="28"/>
          <w:lang w:val="zh-CN"/>
        </w:rPr>
        <w:fldChar w:fldCharType="separate"/>
      </w:r>
      <w:r>
        <w:rPr>
          <w:rFonts w:hint="eastAsia" w:ascii="宋体" w:hAnsi="宋体" w:eastAsia="宋体" w:cs="宋体"/>
          <w:szCs w:val="30"/>
        </w:rPr>
        <w:t>5.2危险度分析评价</w:t>
      </w:r>
      <w:r>
        <w:tab/>
      </w:r>
      <w:r>
        <w:fldChar w:fldCharType="begin"/>
      </w:r>
      <w:r>
        <w:instrText xml:space="preserve"> PAGEREF _Toc14620 \h </w:instrText>
      </w:r>
      <w:r>
        <w:fldChar w:fldCharType="separate"/>
      </w:r>
      <w:r>
        <w:t>56</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_Toc10289 </w:instrText>
      </w:r>
      <w:r>
        <w:rPr>
          <w:rFonts w:hint="eastAsia" w:ascii="宋体" w:hAnsi="宋体" w:eastAsia="宋体" w:cs="宋体"/>
          <w:bCs/>
          <w:szCs w:val="28"/>
          <w:lang w:val="zh-CN"/>
        </w:rPr>
        <w:fldChar w:fldCharType="separate"/>
      </w:r>
      <w:r>
        <w:rPr>
          <w:rFonts w:hint="eastAsia" w:ascii="宋体" w:hAnsi="宋体" w:eastAsia="宋体" w:cs="宋体"/>
        </w:rPr>
        <w:t>5.3作业条件危险性评价法</w:t>
      </w:r>
      <w:r>
        <w:tab/>
      </w:r>
      <w:r>
        <w:fldChar w:fldCharType="begin"/>
      </w:r>
      <w:r>
        <w:instrText xml:space="preserve"> PAGEREF _Toc10289 \h </w:instrText>
      </w:r>
      <w:r>
        <w:fldChar w:fldCharType="separate"/>
      </w:r>
      <w:r>
        <w:t>56</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_Toc7881 </w:instrText>
      </w:r>
      <w:r>
        <w:rPr>
          <w:rFonts w:hint="eastAsia" w:ascii="宋体" w:hAnsi="宋体" w:eastAsia="宋体" w:cs="宋体"/>
          <w:bCs/>
          <w:szCs w:val="28"/>
          <w:lang w:val="zh-CN"/>
        </w:rPr>
        <w:fldChar w:fldCharType="separate"/>
      </w:r>
      <w:r>
        <w:rPr>
          <w:rFonts w:hint="eastAsia" w:ascii="宋体" w:hAnsi="宋体" w:eastAsia="宋体" w:cs="宋体"/>
          <w:szCs w:val="32"/>
        </w:rPr>
        <w:t>6 经营单位前置条件符合性评价</w:t>
      </w:r>
      <w:r>
        <w:tab/>
      </w:r>
      <w:r>
        <w:fldChar w:fldCharType="begin"/>
      </w:r>
      <w:r>
        <w:instrText xml:space="preserve"> PAGEREF _Toc7881 \h </w:instrText>
      </w:r>
      <w:r>
        <w:fldChar w:fldCharType="separate"/>
      </w:r>
      <w:r>
        <w:t>58</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_Toc3626 </w:instrText>
      </w:r>
      <w:r>
        <w:rPr>
          <w:rFonts w:hint="eastAsia" w:ascii="宋体" w:hAnsi="宋体" w:eastAsia="宋体" w:cs="宋体"/>
          <w:bCs/>
          <w:szCs w:val="28"/>
          <w:lang w:val="zh-CN"/>
        </w:rPr>
        <w:fldChar w:fldCharType="separate"/>
      </w:r>
      <w:r>
        <w:rPr>
          <w:rFonts w:hint="eastAsia" w:ascii="宋体" w:hAnsi="宋体" w:eastAsia="宋体" w:cs="宋体"/>
        </w:rPr>
        <w:t>6.1危险化学品经营单位安全评价现场检查表</w:t>
      </w:r>
      <w:r>
        <w:tab/>
      </w:r>
      <w:r>
        <w:fldChar w:fldCharType="begin"/>
      </w:r>
      <w:r>
        <w:instrText xml:space="preserve"> PAGEREF _Toc3626 \h </w:instrText>
      </w:r>
      <w:r>
        <w:fldChar w:fldCharType="separate"/>
      </w:r>
      <w:r>
        <w:t>58</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_Toc10879 </w:instrText>
      </w:r>
      <w:r>
        <w:rPr>
          <w:rFonts w:hint="eastAsia" w:ascii="宋体" w:hAnsi="宋体" w:eastAsia="宋体" w:cs="宋体"/>
          <w:bCs/>
          <w:szCs w:val="28"/>
          <w:lang w:val="zh-CN"/>
        </w:rPr>
        <w:fldChar w:fldCharType="separate"/>
      </w:r>
      <w:r>
        <w:rPr>
          <w:rFonts w:hint="eastAsia" w:ascii="宋体" w:hAnsi="宋体" w:eastAsia="宋体" w:cs="宋体"/>
        </w:rPr>
        <w:t>6.2《危险化学品经营许可证管理办法》检查表</w:t>
      </w:r>
      <w:r>
        <w:tab/>
      </w:r>
      <w:r>
        <w:fldChar w:fldCharType="begin"/>
      </w:r>
      <w:r>
        <w:instrText xml:space="preserve"> PAGEREF _Toc10879 \h </w:instrText>
      </w:r>
      <w:r>
        <w:fldChar w:fldCharType="separate"/>
      </w:r>
      <w:r>
        <w:t>61</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_Toc10826 </w:instrText>
      </w:r>
      <w:r>
        <w:rPr>
          <w:rFonts w:hint="eastAsia" w:ascii="宋体" w:hAnsi="宋体" w:eastAsia="宋体" w:cs="宋体"/>
          <w:bCs/>
          <w:szCs w:val="28"/>
          <w:lang w:val="zh-CN"/>
        </w:rPr>
        <w:fldChar w:fldCharType="separate"/>
      </w:r>
      <w:r>
        <w:rPr>
          <w:rFonts w:hint="eastAsia" w:ascii="宋体" w:hAnsi="宋体" w:eastAsia="宋体" w:cs="宋体"/>
          <w:szCs w:val="32"/>
        </w:rPr>
        <w:t>7 安全经营条件符合性评价</w:t>
      </w:r>
      <w:r>
        <w:tab/>
      </w:r>
      <w:r>
        <w:fldChar w:fldCharType="begin"/>
      </w:r>
      <w:r>
        <w:instrText xml:space="preserve"> PAGEREF _Toc10826 \h </w:instrText>
      </w:r>
      <w:r>
        <w:fldChar w:fldCharType="separate"/>
      </w:r>
      <w:r>
        <w:t>63</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_Toc12283 </w:instrText>
      </w:r>
      <w:r>
        <w:rPr>
          <w:rFonts w:hint="eastAsia" w:ascii="宋体" w:hAnsi="宋体" w:eastAsia="宋体" w:cs="宋体"/>
          <w:bCs/>
          <w:szCs w:val="28"/>
          <w:lang w:val="zh-CN"/>
        </w:rPr>
        <w:fldChar w:fldCharType="separate"/>
      </w:r>
      <w:r>
        <w:rPr>
          <w:rFonts w:hint="eastAsia" w:ascii="宋体" w:hAnsi="宋体" w:eastAsia="宋体" w:cs="宋体"/>
          <w:szCs w:val="30"/>
        </w:rPr>
        <w:t>7.1总体布局符合性评价</w:t>
      </w:r>
      <w:r>
        <w:tab/>
      </w:r>
      <w:r>
        <w:fldChar w:fldCharType="begin"/>
      </w:r>
      <w:r>
        <w:instrText xml:space="preserve"> PAGEREF _Toc12283 \h </w:instrText>
      </w:r>
      <w:r>
        <w:fldChar w:fldCharType="separate"/>
      </w:r>
      <w:r>
        <w:t>63</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_Toc17762 </w:instrText>
      </w:r>
      <w:r>
        <w:rPr>
          <w:rFonts w:hint="eastAsia" w:ascii="宋体" w:hAnsi="宋体" w:eastAsia="宋体" w:cs="宋体"/>
          <w:bCs/>
          <w:szCs w:val="28"/>
          <w:lang w:val="zh-CN"/>
        </w:rPr>
        <w:fldChar w:fldCharType="separate"/>
      </w:r>
      <w:r>
        <w:rPr>
          <w:rFonts w:hint="eastAsia" w:ascii="宋体" w:hAnsi="宋体" w:eastAsia="宋体" w:cs="宋体"/>
          <w:szCs w:val="30"/>
        </w:rPr>
        <w:t>7.2常规防护设施安全评价</w:t>
      </w:r>
      <w:r>
        <w:tab/>
      </w:r>
      <w:r>
        <w:fldChar w:fldCharType="begin"/>
      </w:r>
      <w:r>
        <w:instrText xml:space="preserve"> PAGEREF _Toc17762 \h </w:instrText>
      </w:r>
      <w:r>
        <w:fldChar w:fldCharType="separate"/>
      </w:r>
      <w:r>
        <w:t>64</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_Toc12458 </w:instrText>
      </w:r>
      <w:r>
        <w:rPr>
          <w:rFonts w:hint="eastAsia" w:ascii="宋体" w:hAnsi="宋体" w:eastAsia="宋体" w:cs="宋体"/>
          <w:bCs/>
          <w:szCs w:val="28"/>
          <w:lang w:val="zh-CN"/>
        </w:rPr>
        <w:fldChar w:fldCharType="separate"/>
      </w:r>
      <w:r>
        <w:rPr>
          <w:rFonts w:hint="eastAsia" w:ascii="宋体" w:hAnsi="宋体" w:eastAsia="宋体" w:cs="宋体"/>
          <w:szCs w:val="28"/>
        </w:rPr>
        <w:t>7.3工艺、设备设施安全评价</w:t>
      </w:r>
      <w:r>
        <w:tab/>
      </w:r>
      <w:r>
        <w:fldChar w:fldCharType="begin"/>
      </w:r>
      <w:r>
        <w:instrText xml:space="preserve"> PAGEREF _Toc12458 \h </w:instrText>
      </w:r>
      <w:r>
        <w:fldChar w:fldCharType="separate"/>
      </w:r>
      <w:r>
        <w:t>65</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_Toc20358 </w:instrText>
      </w:r>
      <w:r>
        <w:rPr>
          <w:rFonts w:hint="eastAsia" w:ascii="宋体" w:hAnsi="宋体" w:eastAsia="宋体" w:cs="宋体"/>
          <w:bCs/>
          <w:szCs w:val="28"/>
          <w:lang w:val="zh-CN"/>
        </w:rPr>
        <w:fldChar w:fldCharType="separate"/>
      </w:r>
      <w:r>
        <w:rPr>
          <w:rFonts w:hint="eastAsia" w:ascii="宋体" w:hAnsi="宋体" w:eastAsia="宋体" w:cs="宋体"/>
          <w:szCs w:val="30"/>
        </w:rPr>
        <w:t>7.4防火间距、耐火等级、面积评价</w:t>
      </w:r>
      <w:r>
        <w:tab/>
      </w:r>
      <w:r>
        <w:fldChar w:fldCharType="begin"/>
      </w:r>
      <w:r>
        <w:instrText xml:space="preserve"> PAGEREF _Toc20358 \h </w:instrText>
      </w:r>
      <w:r>
        <w:fldChar w:fldCharType="separate"/>
      </w:r>
      <w:r>
        <w:t>66</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_Toc26440 </w:instrText>
      </w:r>
      <w:r>
        <w:rPr>
          <w:rFonts w:hint="eastAsia" w:ascii="宋体" w:hAnsi="宋体" w:eastAsia="宋体" w:cs="宋体"/>
          <w:bCs/>
          <w:szCs w:val="28"/>
          <w:lang w:val="zh-CN"/>
        </w:rPr>
        <w:fldChar w:fldCharType="separate"/>
      </w:r>
      <w:r>
        <w:rPr>
          <w:rFonts w:hint="eastAsia" w:ascii="宋体" w:hAnsi="宋体" w:eastAsia="宋体" w:cs="宋体"/>
          <w:szCs w:val="30"/>
        </w:rPr>
        <w:t>7.5安全管理评价</w:t>
      </w:r>
      <w:r>
        <w:tab/>
      </w:r>
      <w:r>
        <w:fldChar w:fldCharType="begin"/>
      </w:r>
      <w:r>
        <w:instrText xml:space="preserve"> PAGEREF _Toc26440 \h </w:instrText>
      </w:r>
      <w:r>
        <w:fldChar w:fldCharType="separate"/>
      </w:r>
      <w:r>
        <w:t>67</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_Toc16300 </w:instrText>
      </w:r>
      <w:r>
        <w:rPr>
          <w:rFonts w:hint="eastAsia" w:ascii="宋体" w:hAnsi="宋体" w:eastAsia="宋体" w:cs="宋体"/>
          <w:bCs/>
          <w:szCs w:val="28"/>
          <w:lang w:val="zh-CN"/>
        </w:rPr>
        <w:fldChar w:fldCharType="separate"/>
      </w:r>
      <w:r>
        <w:rPr>
          <w:rFonts w:hint="eastAsia" w:ascii="宋体" w:hAnsi="宋体" w:eastAsia="宋体" w:cs="宋体"/>
          <w:bCs/>
          <w:szCs w:val="32"/>
        </w:rPr>
        <w:t>8安全对策措施</w:t>
      </w:r>
      <w:r>
        <w:tab/>
      </w:r>
      <w:r>
        <w:fldChar w:fldCharType="begin"/>
      </w:r>
      <w:r>
        <w:instrText xml:space="preserve"> PAGEREF _Toc16300 \h </w:instrText>
      </w:r>
      <w:r>
        <w:fldChar w:fldCharType="separate"/>
      </w:r>
      <w:r>
        <w:t>69</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_Toc8564 </w:instrText>
      </w:r>
      <w:r>
        <w:rPr>
          <w:rFonts w:hint="eastAsia" w:ascii="宋体" w:hAnsi="宋体" w:eastAsia="宋体" w:cs="宋体"/>
          <w:bCs/>
          <w:szCs w:val="28"/>
          <w:lang w:val="zh-CN"/>
        </w:rPr>
        <w:fldChar w:fldCharType="separate"/>
      </w:r>
      <w:r>
        <w:rPr>
          <w:rFonts w:hint="eastAsia" w:ascii="宋体" w:hAnsi="宋体" w:eastAsia="宋体" w:cs="宋体"/>
          <w:szCs w:val="30"/>
        </w:rPr>
        <w:t>8.1安全对策措施、建议的依据及原则</w:t>
      </w:r>
      <w:r>
        <w:tab/>
      </w:r>
      <w:r>
        <w:fldChar w:fldCharType="begin"/>
      </w:r>
      <w:r>
        <w:instrText xml:space="preserve"> PAGEREF _Toc8564 \h </w:instrText>
      </w:r>
      <w:r>
        <w:fldChar w:fldCharType="separate"/>
      </w:r>
      <w:r>
        <w:t>69</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_Toc7540 </w:instrText>
      </w:r>
      <w:r>
        <w:rPr>
          <w:rFonts w:hint="eastAsia" w:ascii="宋体" w:hAnsi="宋体" w:eastAsia="宋体" w:cs="宋体"/>
          <w:bCs/>
          <w:szCs w:val="28"/>
          <w:lang w:val="zh-CN"/>
        </w:rPr>
        <w:fldChar w:fldCharType="separate"/>
      </w:r>
      <w:r>
        <w:rPr>
          <w:rFonts w:hint="eastAsia" w:ascii="宋体" w:hAnsi="宋体" w:eastAsia="宋体" w:cs="宋体"/>
          <w:szCs w:val="30"/>
        </w:rPr>
        <w:t>8.2</w:t>
      </w:r>
      <w:r>
        <w:rPr>
          <w:rFonts w:hint="eastAsia" w:ascii="宋体" w:hAnsi="宋体" w:eastAsia="宋体" w:cs="宋体"/>
          <w:kern w:val="0"/>
          <w:szCs w:val="28"/>
        </w:rPr>
        <w:t>本报告发现现场</w:t>
      </w:r>
      <w:r>
        <w:rPr>
          <w:rFonts w:hint="eastAsia" w:ascii="宋体" w:hAnsi="宋体" w:eastAsia="宋体" w:cs="宋体"/>
          <w:szCs w:val="30"/>
        </w:rPr>
        <w:t>存在的事故隐患及整改建议</w:t>
      </w:r>
      <w:r>
        <w:tab/>
      </w:r>
      <w:r>
        <w:fldChar w:fldCharType="begin"/>
      </w:r>
      <w:r>
        <w:instrText xml:space="preserve"> PAGEREF _Toc7540 \h </w:instrText>
      </w:r>
      <w:r>
        <w:fldChar w:fldCharType="separate"/>
      </w:r>
      <w:r>
        <w:t>69</w:t>
      </w:r>
      <w:r>
        <w:fldChar w:fldCharType="end"/>
      </w:r>
      <w:r>
        <w:rPr>
          <w:rFonts w:hint="eastAsia" w:ascii="宋体" w:hAnsi="宋体" w:eastAsia="宋体" w:cs="宋体"/>
          <w:bCs/>
          <w:szCs w:val="28"/>
          <w:lang w:val="zh-CN"/>
        </w:rPr>
        <w:fldChar w:fldCharType="end"/>
      </w:r>
    </w:p>
    <w:p>
      <w:pPr>
        <w:pStyle w:val="24"/>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_Toc24285 </w:instrText>
      </w:r>
      <w:r>
        <w:rPr>
          <w:rFonts w:hint="eastAsia" w:ascii="宋体" w:hAnsi="宋体" w:eastAsia="宋体" w:cs="宋体"/>
          <w:bCs/>
          <w:szCs w:val="28"/>
          <w:lang w:val="zh-CN"/>
        </w:rPr>
        <w:fldChar w:fldCharType="separate"/>
      </w:r>
      <w:r>
        <w:rPr>
          <w:rFonts w:hint="eastAsia" w:ascii="宋体" w:hAnsi="宋体" w:eastAsia="宋体" w:cs="宋体"/>
          <w:szCs w:val="30"/>
        </w:rPr>
        <w:t>8.3</w:t>
      </w:r>
      <w:r>
        <w:rPr>
          <w:rFonts w:hint="eastAsia" w:ascii="宋体" w:hAnsi="宋体" w:eastAsia="宋体" w:cs="宋体"/>
          <w:kern w:val="0"/>
          <w:szCs w:val="28"/>
        </w:rPr>
        <w:t>该企业</w:t>
      </w:r>
      <w:r>
        <w:rPr>
          <w:rFonts w:hint="eastAsia" w:ascii="宋体" w:hAnsi="宋体" w:eastAsia="宋体" w:cs="宋体"/>
          <w:szCs w:val="30"/>
        </w:rPr>
        <w:t>项目存在问题及整改情况</w:t>
      </w:r>
      <w:r>
        <w:tab/>
      </w:r>
      <w:r>
        <w:fldChar w:fldCharType="begin"/>
      </w:r>
      <w:r>
        <w:instrText xml:space="preserve"> PAGEREF _Toc24285 \h </w:instrText>
      </w:r>
      <w:r>
        <w:fldChar w:fldCharType="separate"/>
      </w:r>
      <w:r>
        <w:t>70</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_Toc28182 </w:instrText>
      </w:r>
      <w:r>
        <w:rPr>
          <w:rFonts w:hint="eastAsia" w:ascii="宋体" w:hAnsi="宋体" w:eastAsia="宋体" w:cs="宋体"/>
          <w:bCs/>
          <w:szCs w:val="28"/>
          <w:lang w:val="zh-CN"/>
        </w:rPr>
        <w:fldChar w:fldCharType="separate"/>
      </w:r>
      <w:r>
        <w:rPr>
          <w:rFonts w:hint="eastAsia" w:ascii="宋体" w:hAnsi="宋体" w:eastAsia="宋体" w:cs="宋体"/>
          <w:szCs w:val="32"/>
        </w:rPr>
        <w:t>9评价结论</w:t>
      </w:r>
      <w:r>
        <w:tab/>
      </w:r>
      <w:r>
        <w:fldChar w:fldCharType="begin"/>
      </w:r>
      <w:r>
        <w:instrText xml:space="preserve"> PAGEREF _Toc28182 \h </w:instrText>
      </w:r>
      <w:r>
        <w:fldChar w:fldCharType="separate"/>
      </w:r>
      <w:r>
        <w:t>71</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_Toc11004 </w:instrText>
      </w:r>
      <w:r>
        <w:rPr>
          <w:rFonts w:hint="eastAsia" w:ascii="宋体" w:hAnsi="宋体" w:eastAsia="宋体" w:cs="宋体"/>
          <w:bCs/>
          <w:szCs w:val="28"/>
          <w:lang w:val="zh-CN"/>
        </w:rPr>
        <w:fldChar w:fldCharType="separate"/>
      </w:r>
      <w:r>
        <w:rPr>
          <w:rFonts w:hint="eastAsia" w:ascii="宋体" w:hAnsi="宋体" w:eastAsia="宋体" w:cs="宋体"/>
          <w:bCs w:val="0"/>
          <w:kern w:val="2"/>
          <w:szCs w:val="28"/>
        </w:rPr>
        <w:t>附件一：企业涉及的危险化学品理化性质及危险特性表</w:t>
      </w:r>
      <w:r>
        <w:tab/>
      </w:r>
      <w:r>
        <w:fldChar w:fldCharType="begin"/>
      </w:r>
      <w:r>
        <w:instrText xml:space="preserve"> PAGEREF _Toc11004 \h </w:instrText>
      </w:r>
      <w:r>
        <w:fldChar w:fldCharType="separate"/>
      </w:r>
      <w:r>
        <w:t>73</w:t>
      </w:r>
      <w:r>
        <w:fldChar w:fldCharType="end"/>
      </w:r>
      <w:r>
        <w:rPr>
          <w:rFonts w:hint="eastAsia" w:ascii="宋体" w:hAnsi="宋体" w:eastAsia="宋体" w:cs="宋体"/>
          <w:bCs/>
          <w:szCs w:val="28"/>
          <w:lang w:val="zh-CN"/>
        </w:rPr>
        <w:fldChar w:fldCharType="end"/>
      </w:r>
    </w:p>
    <w:p>
      <w:pPr>
        <w:pStyle w:val="22"/>
        <w:pageBreakBefore w:val="0"/>
        <w:tabs>
          <w:tab w:val="right" w:leader="dot" w:pos="9072"/>
        </w:tabs>
        <w:kinsoku/>
        <w:wordWrap/>
        <w:overflowPunct/>
        <w:topLinePunct w:val="0"/>
        <w:autoSpaceDE/>
        <w:autoSpaceDN/>
        <w:bidi w:val="0"/>
        <w:adjustRightInd/>
        <w:snapToGrid/>
        <w:spacing w:line="480" w:lineRule="exact"/>
        <w:textAlignment w:val="auto"/>
      </w:pPr>
      <w:r>
        <w:rPr>
          <w:rFonts w:hint="eastAsia" w:ascii="宋体" w:hAnsi="宋体" w:eastAsia="宋体" w:cs="宋体"/>
          <w:bCs/>
          <w:szCs w:val="28"/>
          <w:lang w:val="zh-CN"/>
        </w:rPr>
        <w:fldChar w:fldCharType="begin"/>
      </w:r>
      <w:r>
        <w:rPr>
          <w:rFonts w:hint="eastAsia" w:ascii="宋体" w:hAnsi="宋体" w:eastAsia="宋体" w:cs="宋体"/>
          <w:bCs/>
          <w:szCs w:val="28"/>
          <w:lang w:val="zh-CN"/>
        </w:rPr>
        <w:instrText xml:space="preserve"> HYPERLINK \l _Toc17859 </w:instrText>
      </w:r>
      <w:r>
        <w:rPr>
          <w:rFonts w:hint="eastAsia" w:ascii="宋体" w:hAnsi="宋体" w:eastAsia="宋体" w:cs="宋体"/>
          <w:bCs/>
          <w:szCs w:val="28"/>
          <w:lang w:val="zh-CN"/>
        </w:rPr>
        <w:fldChar w:fldCharType="separate"/>
      </w:r>
      <w:r>
        <w:rPr>
          <w:rFonts w:hint="eastAsia" w:ascii="宋体" w:hAnsi="宋体" w:eastAsia="宋体" w:cs="宋体"/>
          <w:bCs w:val="0"/>
          <w:kern w:val="2"/>
          <w:szCs w:val="28"/>
          <w:lang w:val="en-US" w:eastAsia="zh-CN" w:bidi="ar-SA"/>
        </w:rPr>
        <w:t>附件二、相关资料目录</w:t>
      </w:r>
      <w:r>
        <w:tab/>
      </w:r>
      <w:r>
        <w:fldChar w:fldCharType="begin"/>
      </w:r>
      <w:r>
        <w:instrText xml:space="preserve"> PAGEREF _Toc17859 \h </w:instrText>
      </w:r>
      <w:r>
        <w:fldChar w:fldCharType="separate"/>
      </w:r>
      <w:r>
        <w:t>78</w:t>
      </w:r>
      <w:r>
        <w:fldChar w:fldCharType="end"/>
      </w:r>
      <w:r>
        <w:rPr>
          <w:rFonts w:hint="eastAsia" w:ascii="宋体" w:hAnsi="宋体" w:eastAsia="宋体" w:cs="宋体"/>
          <w:bCs/>
          <w:szCs w:val="28"/>
          <w:lang w:val="zh-CN"/>
        </w:rPr>
        <w:fldChar w:fldCharType="end"/>
      </w:r>
    </w:p>
    <w:p>
      <w:pPr>
        <w:pageBreakBefore w:val="0"/>
        <w:kinsoku/>
        <w:wordWrap/>
        <w:overflowPunct/>
        <w:topLinePunct w:val="0"/>
        <w:autoSpaceDE/>
        <w:autoSpaceDN/>
        <w:bidi w:val="0"/>
        <w:adjustRightInd/>
        <w:snapToGrid/>
        <w:spacing w:before="0" w:line="480" w:lineRule="exact"/>
        <w:jc w:val="center"/>
        <w:textAlignment w:val="auto"/>
        <w:rPr>
          <w:rFonts w:hint="eastAsia" w:ascii="宋体" w:hAnsi="宋体" w:eastAsia="宋体" w:cs="宋体"/>
          <w:b/>
          <w:bCs/>
          <w:sz w:val="32"/>
          <w:szCs w:val="32"/>
          <w:lang w:val="zh-CN"/>
        </w:rPr>
        <w:sectPr>
          <w:pgSz w:w="11906" w:h="16838"/>
          <w:pgMar w:top="1417" w:right="1417" w:bottom="1417" w:left="1417" w:header="851" w:footer="992" w:gutter="0"/>
          <w:pgNumType w:fmt="upperRoman"/>
          <w:cols w:space="720" w:num="1"/>
          <w:docGrid w:type="lines" w:linePitch="312" w:charSpace="0"/>
        </w:sectPr>
      </w:pPr>
      <w:r>
        <w:rPr>
          <w:rFonts w:hint="eastAsia" w:ascii="宋体" w:hAnsi="宋体" w:eastAsia="宋体" w:cs="宋体"/>
          <w:bCs/>
          <w:szCs w:val="28"/>
          <w:lang w:val="zh-CN"/>
        </w:rPr>
        <w:fldChar w:fldCharType="end"/>
      </w:r>
    </w:p>
    <w:p>
      <w:pPr>
        <w:pStyle w:val="3"/>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rPr>
      </w:pPr>
      <w:bookmarkStart w:id="17" w:name="_Toc13470"/>
      <w:bookmarkStart w:id="18" w:name="_Toc10305"/>
      <w:bookmarkStart w:id="19" w:name="_Toc26025"/>
      <w:r>
        <w:rPr>
          <w:rFonts w:hint="eastAsia" w:ascii="宋体" w:hAnsi="宋体" w:eastAsia="宋体" w:cs="宋体"/>
        </w:rPr>
        <w:t>1、评价概述</w:t>
      </w:r>
      <w:bookmarkEnd w:id="14"/>
      <w:bookmarkEnd w:id="15"/>
      <w:bookmarkEnd w:id="16"/>
      <w:bookmarkEnd w:id="17"/>
      <w:bookmarkEnd w:id="18"/>
      <w:bookmarkEnd w:id="19"/>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20" w:name="_Toc10106"/>
      <w:bookmarkStart w:id="21" w:name="_Toc1985"/>
      <w:bookmarkStart w:id="22" w:name="_Toc8714"/>
      <w:bookmarkStart w:id="23" w:name="_Toc6727"/>
      <w:bookmarkStart w:id="24" w:name="_Toc5304"/>
      <w:bookmarkStart w:id="25" w:name="_Toc15406"/>
      <w:bookmarkStart w:id="26" w:name="_Toc11274"/>
      <w:bookmarkStart w:id="27" w:name="_Toc13226"/>
      <w:r>
        <w:rPr>
          <w:rFonts w:hint="eastAsia" w:ascii="宋体" w:hAnsi="宋体" w:eastAsia="宋体" w:cs="宋体"/>
          <w:sz w:val="30"/>
          <w:szCs w:val="30"/>
        </w:rPr>
        <w:t>1.1评价目的</w:t>
      </w:r>
      <w:bookmarkEnd w:id="20"/>
      <w:bookmarkEnd w:id="21"/>
      <w:bookmarkEnd w:id="22"/>
      <w:bookmarkEnd w:id="23"/>
      <w:bookmarkEnd w:id="24"/>
      <w:bookmarkEnd w:id="25"/>
      <w:bookmarkEnd w:id="26"/>
      <w:bookmarkEnd w:id="27"/>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 xml:space="preserve"> 1）为了严格规范安全生产条件，进一步加强安全生产监督管理，防止和减少生产安全事故，根据《中华人民共和国安全生产法》、《危险化学品经营许可证管理办法》等相关法律、法规要求，应按国家规定进行安全评价。依法进行安全评价是企业</w:t>
      </w:r>
      <w:r>
        <w:rPr>
          <w:rFonts w:hint="eastAsia" w:ascii="宋体" w:hAnsi="宋体" w:eastAsia="宋体" w:cs="宋体"/>
          <w:szCs w:val="28"/>
        </w:rPr>
        <w:t>危险化学品经营许可证</w:t>
      </w:r>
      <w:r>
        <w:rPr>
          <w:rFonts w:hint="eastAsia" w:ascii="宋体" w:hAnsi="宋体" w:eastAsia="宋体" w:cs="宋体"/>
        </w:rPr>
        <w:t>取得的必备条件之一。</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2）找出本装置运行中存在的主要危险、有害因素、预测可能产生的危险、危害后果。</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3）对装置运行过程中固有危险、有害因素进行定性、定量的评价和科学分析，对其控制手段进行评价，同时评价其安全等级并估算危险源火灾、爆炸或泄露事故可能造成的事故后果。</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4）提出消除、预防或降低装置危险性、提高装置安全运行等级的安全卫生对策措施，为装置的生产运行及日常管理提供指导，并为有关安全监管部门实行安全监察提供依据。</w:t>
      </w:r>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28" w:name="_Toc32381"/>
      <w:bookmarkStart w:id="29" w:name="_Toc22517"/>
      <w:bookmarkStart w:id="30" w:name="_Toc5382"/>
      <w:bookmarkStart w:id="31" w:name="_Toc30435"/>
      <w:bookmarkStart w:id="32" w:name="_Toc14389"/>
      <w:bookmarkStart w:id="33" w:name="_Toc15873"/>
      <w:bookmarkStart w:id="34" w:name="_Toc16012"/>
      <w:bookmarkStart w:id="35" w:name="_Toc30842"/>
      <w:bookmarkStart w:id="36" w:name="_Toc32331"/>
      <w:r>
        <w:rPr>
          <w:rFonts w:hint="eastAsia" w:ascii="宋体" w:hAnsi="宋体" w:eastAsia="宋体" w:cs="宋体"/>
          <w:sz w:val="30"/>
          <w:szCs w:val="30"/>
        </w:rPr>
        <w:t>1.2评价原则</w:t>
      </w:r>
      <w:bookmarkEnd w:id="28"/>
      <w:bookmarkEnd w:id="29"/>
      <w:bookmarkEnd w:id="30"/>
      <w:bookmarkEnd w:id="31"/>
      <w:bookmarkEnd w:id="32"/>
      <w:bookmarkEnd w:id="33"/>
      <w:bookmarkEnd w:id="34"/>
      <w:bookmarkEnd w:id="35"/>
      <w:bookmarkEnd w:id="36"/>
    </w:p>
    <w:p>
      <w:pPr>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b/>
          <w:szCs w:val="28"/>
        </w:rPr>
      </w:pPr>
      <w:r>
        <w:rPr>
          <w:rFonts w:hint="eastAsia" w:ascii="宋体" w:hAnsi="宋体" w:eastAsia="宋体" w:cs="宋体"/>
        </w:rPr>
        <w:t xml:space="preserve"> </w:t>
      </w:r>
      <w:r>
        <w:rPr>
          <w:rFonts w:hint="eastAsia" w:ascii="宋体" w:hAnsi="宋体" w:eastAsia="宋体" w:cs="宋体"/>
          <w:szCs w:val="28"/>
        </w:rPr>
        <w:t xml:space="preserve">  本次对</w:t>
      </w:r>
      <w:r>
        <w:rPr>
          <w:rFonts w:hint="eastAsia" w:ascii="宋体" w:hAnsi="宋体" w:eastAsia="宋体" w:cs="宋体"/>
          <w:szCs w:val="28"/>
          <w:lang w:val="zh-CN"/>
        </w:rPr>
        <w:t>江西乾照光电有限公司（氨回收装置）</w:t>
      </w:r>
      <w:r>
        <w:rPr>
          <w:rFonts w:hint="eastAsia" w:ascii="宋体" w:hAnsi="宋体" w:eastAsia="宋体" w:cs="宋体"/>
          <w:szCs w:val="28"/>
        </w:rPr>
        <w:t>的安全现状评价所遵循的原则是：</w:t>
      </w:r>
      <w:r>
        <w:rPr>
          <w:rFonts w:hint="eastAsia" w:ascii="宋体" w:hAnsi="宋体" w:eastAsia="宋体" w:cs="宋体"/>
          <w:b/>
          <w:szCs w:val="28"/>
        </w:rPr>
        <w:t xml:space="preserve"> </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 xml:space="preserve">    （1）认真贯彻国家现行安全生产法律、法规，严格执行国家标准与规范，力求评价的科学性与公正性。</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（2） 采用科学、适用的评价技术方法，力求使评价结论客观，符合该项目的生产实际。</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（3） 深入现场，深入实际，充分发挥评价人员和有关专家的专业技术优势，在全面分析危险、有害因素的基础上，提出较为有效的安全对策措施建议。</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（4） 诚信、负责，为企业服务。</w:t>
      </w:r>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37" w:name="_Toc15716"/>
      <w:bookmarkStart w:id="38" w:name="_Toc18338"/>
      <w:bookmarkStart w:id="39" w:name="_Toc9599"/>
      <w:r>
        <w:rPr>
          <w:rFonts w:hint="eastAsia" w:ascii="宋体" w:hAnsi="宋体" w:eastAsia="宋体" w:cs="宋体"/>
          <w:sz w:val="30"/>
          <w:szCs w:val="30"/>
        </w:rPr>
        <w:t>1.3安全现状评价主要依据</w:t>
      </w:r>
      <w:bookmarkEnd w:id="37"/>
      <w:bookmarkEnd w:id="38"/>
      <w:bookmarkEnd w:id="39"/>
    </w:p>
    <w:p>
      <w:pPr>
        <w:pStyle w:val="5"/>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bCs w:val="0"/>
          <w:szCs w:val="28"/>
        </w:rPr>
      </w:pPr>
      <w:bookmarkStart w:id="40" w:name="_Toc274377336"/>
      <w:bookmarkStart w:id="41" w:name="_Toc222196270"/>
      <w:bookmarkStart w:id="42" w:name="_Toc354144039"/>
      <w:bookmarkStart w:id="43" w:name="_Toc331164101"/>
      <w:bookmarkStart w:id="44" w:name="_Toc32296"/>
      <w:bookmarkStart w:id="45" w:name="_Toc331690230"/>
      <w:r>
        <w:rPr>
          <w:rFonts w:hint="eastAsia" w:ascii="宋体" w:hAnsi="宋体" w:eastAsia="宋体" w:cs="宋体"/>
          <w:b w:val="0"/>
          <w:szCs w:val="28"/>
        </w:rPr>
        <w:t>1.3.1 国家法律、行政法规</w:t>
      </w:r>
      <w:bookmarkEnd w:id="40"/>
      <w:bookmarkEnd w:id="41"/>
      <w:bookmarkEnd w:id="42"/>
      <w:bookmarkEnd w:id="43"/>
      <w:bookmarkEnd w:id="44"/>
      <w:bookmarkEnd w:id="45"/>
      <w:r>
        <w:rPr>
          <w:rFonts w:hint="eastAsia" w:ascii="宋体" w:hAnsi="宋体" w:eastAsia="宋体" w:cs="宋体"/>
          <w:bCs w:val="0"/>
          <w:szCs w:val="28"/>
        </w:rPr>
        <w:t xml:space="preserve"> </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bookmarkStart w:id="46" w:name="_Toc195093286"/>
      <w:bookmarkStart w:id="47" w:name="_Toc331164102"/>
      <w:bookmarkStart w:id="48" w:name="_Toc354144040"/>
      <w:bookmarkStart w:id="49" w:name="_Toc11175"/>
      <w:bookmarkStart w:id="50" w:name="_Toc331690231"/>
      <w:bookmarkStart w:id="51" w:name="_Toc274377337"/>
      <w:bookmarkStart w:id="52" w:name="_Toc222196271"/>
      <w:r>
        <w:rPr>
          <w:rFonts w:hint="eastAsia" w:ascii="宋体" w:hAnsi="宋体" w:eastAsia="宋体" w:cs="宋体"/>
          <w:szCs w:val="28"/>
        </w:rPr>
        <w:t>《中华人民共和国安全生产法》《中华人民共和国安全生产法》（2021年6月10日，中华人民共和国第十三届全国人民代表大会常务委员会第二十九次会议于通过《全国人民代表大会常务委员会关于修改〈中华人民共和国安全生产法〉的决定》，现予公布，自2021年9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《中华人民共和国劳动法》（</w:t>
      </w:r>
      <w:r>
        <w:rPr>
          <w:rFonts w:hint="eastAsia" w:ascii="宋体" w:hAnsi="宋体" w:eastAsia="宋体" w:cs="宋体"/>
          <w:kern w:val="0"/>
          <w:szCs w:val="28"/>
        </w:rPr>
        <w:t>2009年中华人民共和国主席令第28号，2018年12月29日第十三届全国人民代表大会常务委员会第七次会议《关于修改〈中华人民共和国劳动法〉等七部法律的决定》第二次修正</w:t>
      </w:r>
      <w:r>
        <w:rPr>
          <w:rFonts w:hint="eastAsia" w:ascii="宋体" w:hAnsi="宋体" w:eastAsia="宋体" w:cs="宋体"/>
          <w:szCs w:val="28"/>
        </w:rPr>
        <w:t>）</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《中华人民共和国消防法》（2021年4月29日第十三届全国人民代表大会常务委员会第二十八次会议修改）</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《中华人民共和国职业病防治法》（</w:t>
      </w:r>
      <w:r>
        <w:rPr>
          <w:rFonts w:hint="eastAsia" w:ascii="宋体" w:hAnsi="宋体" w:eastAsia="宋体" w:cs="宋体"/>
          <w:kern w:val="0"/>
          <w:szCs w:val="28"/>
        </w:rPr>
        <w:t>2017年中华人民共和国主席令第48号，2018年12月29日第十三届全国人民代表大会常务委员会第七次会议《关于修改〈中华人民共和国劳动法〉等七部法律的决定》第四次修正</w:t>
      </w:r>
      <w:r>
        <w:rPr>
          <w:rFonts w:hint="eastAsia" w:ascii="宋体" w:hAnsi="宋体" w:eastAsia="宋体" w:cs="宋体"/>
          <w:szCs w:val="28"/>
        </w:rPr>
        <w:t>）</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《中华人民共和国突发事件应对法》（中华人民共和国主席令[2007]69号，2007年8月30日第十届全国人民代表大会常务委员会第二十九次会议于通过，自2007年11月1日起施行。）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环境保护法》（中华人民共和国主席令[2014]9号，2014年4月24日中华人民共和国第十二届全国人民代表大会常务委员会第八次会议修订通过，现将修订后的&lt;中华人民共和国环境保护法&gt;公布，自2015年1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《中华人民共和国特种设备安全法》（中华人民共和国主席令[2013]4号，2013年6月29日中华人民共和国主席令第4号公布，自2014年1月1日起施行）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《危险化学品安全管理条例2013年修订》（国务院令第591号，自2011年12月1日起施行，中华人民共和国国务院令第645号修订）</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《工伤保险条例》（ 中华人民共和国国务院令第586号）</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《劳动保障监察条例》（国务院令第423号，2004年12月1日起施行）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《使用有毒物品作业场所劳动保护条例》（国务院令第352号，自2002年4月30日起施行）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《公路安全保护条例》（国务院令第593号，自2011年7月1日起施行）</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w:t>
      </w:r>
      <w:r>
        <w:rPr>
          <w:rFonts w:hint="eastAsia" w:ascii="宋体" w:hAnsi="宋体" w:eastAsia="宋体" w:cs="宋体"/>
        </w:rPr>
        <w:fldChar w:fldCharType="begin"/>
      </w:r>
      <w:r>
        <w:rPr>
          <w:rFonts w:hint="eastAsia" w:ascii="宋体" w:hAnsi="宋体" w:eastAsia="宋体" w:cs="宋体"/>
        </w:rPr>
        <w:instrText xml:space="preserve"> HYPERLINK "http://www.gov.cn/gzdt/att/att/site1/20110426/001e3741a2cc0f20bacd01.pdf" \t "_blank" \o "http://www.gov.cn/gzdt/att/att/site1/20110426/001e3741a2cc0f20bacd01.pdf" </w:instrText>
      </w:r>
      <w:r>
        <w:rPr>
          <w:rFonts w:hint="eastAsia" w:ascii="宋体" w:hAnsi="宋体" w:eastAsia="宋体" w:cs="宋体"/>
        </w:rPr>
        <w:fldChar w:fldCharType="separate"/>
      </w:r>
      <w:r>
        <w:rPr>
          <w:rFonts w:hint="eastAsia" w:ascii="宋体" w:hAnsi="宋体" w:eastAsia="宋体" w:cs="宋体"/>
          <w:szCs w:val="28"/>
        </w:rPr>
        <w:t>产业结构调整指导目录（2019年本）</w:t>
      </w:r>
      <w:r>
        <w:rPr>
          <w:rFonts w:hint="eastAsia" w:ascii="宋体" w:hAnsi="宋体" w:eastAsia="宋体" w:cs="宋体"/>
          <w:szCs w:val="28"/>
        </w:rPr>
        <w:fldChar w:fldCharType="end"/>
      </w:r>
      <w:r>
        <w:rPr>
          <w:rFonts w:hint="eastAsia" w:ascii="宋体" w:hAnsi="宋体" w:eastAsia="宋体" w:cs="宋体"/>
          <w:szCs w:val="28"/>
        </w:rPr>
        <w:t xml:space="preserve">》2021年修订 </w:t>
      </w:r>
    </w:p>
    <w:p>
      <w:pPr>
        <w:keepNext w:val="0"/>
        <w:keepLines w:val="0"/>
        <w:pageBreakBefore w:val="0"/>
        <w:kinsoku/>
        <w:wordWrap/>
        <w:overflowPunct/>
        <w:topLinePunct w:val="0"/>
        <w:autoSpaceDE/>
        <w:bidi w:val="0"/>
        <w:adjustRightInd/>
        <w:snapToGrid/>
        <w:spacing w:line="600" w:lineRule="exact"/>
        <w:ind w:firstLine="560" w:firstLineChars="200"/>
        <w:jc w:val="right"/>
        <w:textAlignment w:val="auto"/>
        <w:rPr>
          <w:rFonts w:hint="eastAsia" w:ascii="宋体" w:hAnsi="宋体" w:eastAsia="宋体" w:cs="宋体"/>
          <w:szCs w:val="28"/>
        </w:rPr>
      </w:pPr>
      <w:r>
        <w:rPr>
          <w:rFonts w:hint="eastAsia" w:ascii="宋体" w:hAnsi="宋体" w:eastAsia="宋体" w:cs="宋体"/>
          <w:szCs w:val="28"/>
        </w:rPr>
        <w:t>国家发展和改革委员会第49号令</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《江西省安全生产条例》（江西省第十二届人大常务委员会三十四会议修订）</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《江西省消防条例》（2020年11月25日江西省第十三届人民代表大会常务委员会第二十五次会议第六次修正）</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《江西省突发事件应对条例》（江西省第十二届人民代表大会常务委员会公告第10号）</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其他相关法律、法规</w:t>
      </w:r>
    </w:p>
    <w:p>
      <w:pPr>
        <w:pStyle w:val="5"/>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b w:val="0"/>
          <w:szCs w:val="28"/>
        </w:rPr>
      </w:pPr>
      <w:r>
        <w:rPr>
          <w:rFonts w:hint="eastAsia" w:ascii="宋体" w:hAnsi="宋体" w:eastAsia="宋体" w:cs="宋体"/>
          <w:b w:val="0"/>
          <w:szCs w:val="28"/>
        </w:rPr>
        <w:t>1.3.2行政规章、规范性文件</w:t>
      </w:r>
      <w:bookmarkEnd w:id="46"/>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《首批重点监管的危险化学品名录的通知》国家安全监管总局安监总管三〔2011〕95号</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《关于公布首批重点监管的危险化工工艺目录的通知》国家安全监管总局安监总管三〔2009〕116号</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《国家安全监管总局关于公布首批重点监管的危险化学品名录的通知》国家安全监管总局安监总管三〔2011〕95号</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《第二批重点监管的危险化学品名录》 安监总管三（2013）12号</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《国家安全监管总局办公厅关于印发首批重点监管的危险化学品安全措施和应急处置原则的通知》国家安全监管总局安监总厅管三〔2011〕142号</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pacing w:val="8"/>
          <w:szCs w:val="28"/>
        </w:rPr>
      </w:pPr>
      <w:r>
        <w:rPr>
          <w:rFonts w:hint="eastAsia" w:ascii="宋体" w:hAnsi="宋体" w:eastAsia="宋体" w:cs="宋体"/>
          <w:kern w:val="0"/>
          <w:szCs w:val="28"/>
        </w:rPr>
        <w:t>《</w:t>
      </w:r>
      <w:r>
        <w:rPr>
          <w:rFonts w:hint="eastAsia" w:ascii="宋体" w:hAnsi="宋体" w:eastAsia="宋体" w:cs="宋体"/>
          <w:spacing w:val="8"/>
          <w:szCs w:val="28"/>
        </w:rPr>
        <w:t>国家安全监管总局关于公布第二批重点监管危险化工工艺目录和调整首批重点监管危险化工工艺中部分典型工艺的通知》安监总管三〔2013〕3号</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lang w:val="zh-CN"/>
        </w:rPr>
      </w:pPr>
      <w:r>
        <w:rPr>
          <w:rFonts w:hint="eastAsia" w:ascii="宋体" w:hAnsi="宋体" w:eastAsia="宋体" w:cs="宋体"/>
          <w:spacing w:val="8"/>
          <w:szCs w:val="28"/>
          <w:lang w:val="zh-CN"/>
        </w:rPr>
        <w:t>《特别管控危险化学品目录（第一版）》（应急管理部、工业和信息化部、公安部、交通运输部</w:t>
      </w:r>
      <w:r>
        <w:rPr>
          <w:rFonts w:hint="eastAsia" w:ascii="宋体" w:hAnsi="宋体" w:eastAsia="宋体" w:cs="宋体"/>
          <w:spacing w:val="8"/>
          <w:szCs w:val="28"/>
        </w:rPr>
        <w:t>2020年第1号公告</w:t>
      </w:r>
      <w:r>
        <w:rPr>
          <w:rFonts w:hint="eastAsia" w:ascii="宋体" w:hAnsi="宋体" w:eastAsia="宋体" w:cs="宋体"/>
          <w:spacing w:val="8"/>
          <w:szCs w:val="28"/>
          <w:lang w:val="zh-CN"/>
        </w:rPr>
        <w:t>）</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《安全生产培训管理办法》国家安监总局令第44号（第80号令修改[2015]）</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《生产安全事故应急预案管理办法》国家应急部令[2019]第2号令</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pacing w:val="8"/>
          <w:szCs w:val="28"/>
        </w:rPr>
        <w:t xml:space="preserve">《固定式压力容器安全技术监察规程》   </w:t>
      </w:r>
      <w:r>
        <w:rPr>
          <w:rFonts w:hint="eastAsia" w:ascii="宋体" w:hAnsi="宋体" w:eastAsia="宋体" w:cs="宋体"/>
          <w:szCs w:val="28"/>
        </w:rPr>
        <w:t>TSZ21-2016</w:t>
      </w:r>
    </w:p>
    <w:p>
      <w:pPr>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《安全阀安全技术监察规程》</w:t>
      </w:r>
    </w:p>
    <w:p>
      <w:pPr>
        <w:keepNext w:val="0"/>
        <w:keepLines w:val="0"/>
        <w:pageBreakBefore w:val="0"/>
        <w:kinsoku/>
        <w:wordWrap/>
        <w:overflowPunct/>
        <w:topLinePunct w:val="0"/>
        <w:autoSpaceDE/>
        <w:bidi w:val="0"/>
        <w:adjustRightInd/>
        <w:snapToGrid/>
        <w:spacing w:line="600" w:lineRule="exact"/>
        <w:ind w:firstLine="592" w:firstLineChars="200"/>
        <w:jc w:val="right"/>
        <w:textAlignment w:val="auto"/>
        <w:rPr>
          <w:rFonts w:hint="eastAsia" w:ascii="宋体" w:hAnsi="宋体" w:eastAsia="宋体" w:cs="宋体"/>
          <w:spacing w:val="8"/>
          <w:szCs w:val="28"/>
        </w:rPr>
      </w:pPr>
      <w:r>
        <w:rPr>
          <w:rFonts w:hint="eastAsia" w:ascii="宋体" w:hAnsi="宋体" w:eastAsia="宋体" w:cs="宋体"/>
          <w:spacing w:val="8"/>
          <w:szCs w:val="28"/>
        </w:rPr>
        <w:t>国家质量监督检验检疫总局TSG ZF001-2006</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pacing w:val="8"/>
          <w:szCs w:val="28"/>
        </w:rPr>
      </w:pPr>
      <w:r>
        <w:rPr>
          <w:rFonts w:hint="eastAsia" w:ascii="宋体" w:hAnsi="宋体" w:eastAsia="宋体" w:cs="宋体"/>
          <w:spacing w:val="8"/>
          <w:szCs w:val="28"/>
        </w:rPr>
        <w:t>《安全阀安全技术监察规程》（TSG ZF001-2006）第1号修改</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pacing w:val="8"/>
          <w:szCs w:val="28"/>
        </w:rPr>
      </w:pPr>
      <w:r>
        <w:rPr>
          <w:rFonts w:hint="eastAsia" w:ascii="宋体" w:hAnsi="宋体" w:eastAsia="宋体" w:cs="宋体"/>
          <w:spacing w:val="8"/>
          <w:szCs w:val="28"/>
        </w:rPr>
        <w:t>《特种作业人员安全技术培训考核管理规定》</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pacing w:val="8"/>
          <w:szCs w:val="28"/>
        </w:rPr>
      </w:pPr>
      <w:r>
        <w:rPr>
          <w:rFonts w:hint="eastAsia" w:ascii="宋体" w:hAnsi="宋体" w:eastAsia="宋体" w:cs="宋体"/>
          <w:spacing w:val="8"/>
          <w:szCs w:val="28"/>
        </w:rPr>
        <w:t>国家安全生产监督管理总局令第30号（第80号令修改[2015]）</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pacing w:val="8"/>
          <w:szCs w:val="28"/>
        </w:rPr>
      </w:pPr>
      <w:r>
        <w:rPr>
          <w:rFonts w:hint="eastAsia" w:ascii="宋体" w:hAnsi="宋体" w:eastAsia="宋体" w:cs="宋体"/>
          <w:spacing w:val="8"/>
          <w:szCs w:val="28"/>
        </w:rPr>
        <w:t>《&lt;中华人民共和国监控化学品管理条例&gt;实施细则》中华人民共和国工业和信息化部令[2018]第48号</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pacing w:val="8"/>
          <w:szCs w:val="28"/>
        </w:rPr>
      </w:pPr>
      <w:r>
        <w:rPr>
          <w:rFonts w:hint="eastAsia" w:ascii="宋体" w:hAnsi="宋体" w:eastAsia="宋体" w:cs="宋体"/>
          <w:spacing w:val="8"/>
          <w:szCs w:val="28"/>
        </w:rPr>
        <w:t xml:space="preserve"> 《易制毒化学品管理条例》国务院令[2005]第445号，703号自2018年9月18日修正版</w:t>
      </w:r>
    </w:p>
    <w:p>
      <w:pPr>
        <w:pStyle w:val="10"/>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《危险化学品经营许可证管理办法》经2012年5月21日</w:t>
      </w:r>
      <w:r>
        <w:rPr>
          <w:rFonts w:hint="eastAsia" w:ascii="宋体" w:hAnsi="宋体" w:eastAsia="宋体" w:cs="宋体"/>
        </w:rPr>
        <w:fldChar w:fldCharType="begin"/>
      </w:r>
      <w:r>
        <w:rPr>
          <w:rFonts w:hint="eastAsia" w:ascii="宋体" w:hAnsi="宋体" w:eastAsia="宋体" w:cs="宋体"/>
        </w:rPr>
        <w:instrText xml:space="preserve"> HYPERLINK "https://baike.baidu.com/item/%E5%9B%BD%E5%AE%B6%E5%AE%89%E5%85%A8%E7%94%9F%E4%BA%A7%E7%9B%91%E7%9D%A3%E7%AE%A1%E7%90%86%E6%80%BB%E5%B1%80/2852170" \t "https://baike.baidu.com/item/%E5%8D%B1%E9%99%A9%E5%8C%96%E5%AD%A6%E5%93%81%E7%BB%8F%E8%90%A5%E8%AE%B8%E5%8F%AF%E8%AF%81%E7%AE%A1%E7%90%86%E5%8A%9E%E6%B3%95/_blank" </w:instrText>
      </w:r>
      <w:r>
        <w:rPr>
          <w:rFonts w:hint="eastAsia" w:ascii="宋体" w:hAnsi="宋体" w:eastAsia="宋体" w:cs="宋体"/>
        </w:rPr>
        <w:fldChar w:fldCharType="separate"/>
      </w:r>
      <w:r>
        <w:rPr>
          <w:rFonts w:hint="eastAsia" w:ascii="宋体" w:hAnsi="宋体" w:eastAsia="宋体" w:cs="宋体"/>
          <w:spacing w:val="8"/>
          <w:szCs w:val="28"/>
        </w:rPr>
        <w:t>国家安全生产监督管理总局</w:t>
      </w:r>
      <w:r>
        <w:rPr>
          <w:rFonts w:hint="eastAsia" w:ascii="宋体" w:hAnsi="宋体" w:eastAsia="宋体" w:cs="宋体"/>
          <w:spacing w:val="8"/>
          <w:szCs w:val="28"/>
        </w:rPr>
        <w:fldChar w:fldCharType="end"/>
      </w:r>
      <w:r>
        <w:rPr>
          <w:rFonts w:hint="eastAsia" w:ascii="宋体" w:hAnsi="宋体" w:eastAsia="宋体" w:cs="宋体"/>
          <w:spacing w:val="8"/>
          <w:szCs w:val="28"/>
        </w:rPr>
        <w:t>局长办公会议审议通过，2012年7月17日国家安全生产监督管理总局令第55号公布。</w:t>
      </w:r>
    </w:p>
    <w:p>
      <w:pPr>
        <w:pStyle w:val="10"/>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《危险化学品经营单位安全评价导则(试行)》</w:t>
      </w:r>
    </w:p>
    <w:p>
      <w:pPr>
        <w:pStyle w:val="10"/>
        <w:keepNext w:val="0"/>
        <w:keepLines w:val="0"/>
        <w:pageBreakBefore w:val="0"/>
        <w:kinsoku/>
        <w:wordWrap/>
        <w:overflowPunct/>
        <w:topLinePunct w:val="0"/>
        <w:autoSpaceDE/>
        <w:bidi w:val="0"/>
        <w:adjustRightInd/>
        <w:snapToGrid/>
        <w:spacing w:line="600" w:lineRule="exact"/>
        <w:ind w:firstLine="592" w:firstLineChars="200"/>
        <w:textAlignment w:val="auto"/>
        <w:rPr>
          <w:rFonts w:hint="eastAsia" w:ascii="宋体" w:hAnsi="宋体" w:eastAsia="宋体" w:cs="宋体"/>
          <w:spacing w:val="8"/>
          <w:szCs w:val="28"/>
        </w:rPr>
      </w:pPr>
      <w:r>
        <w:rPr>
          <w:rFonts w:hint="eastAsia" w:ascii="宋体" w:hAnsi="宋体" w:eastAsia="宋体" w:cs="宋体"/>
          <w:spacing w:val="8"/>
          <w:szCs w:val="28"/>
        </w:rPr>
        <w:t>《危险化学品安全管理条例》   2011国务院令第591号，2013国务院令第645号修正</w:t>
      </w:r>
    </w:p>
    <w:p>
      <w:pPr>
        <w:pStyle w:val="5"/>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bCs w:val="0"/>
          <w:szCs w:val="28"/>
        </w:rPr>
      </w:pPr>
      <w:r>
        <w:rPr>
          <w:rFonts w:hint="eastAsia" w:ascii="宋体" w:hAnsi="宋体" w:eastAsia="宋体" w:cs="宋体"/>
          <w:b w:val="0"/>
          <w:szCs w:val="28"/>
        </w:rPr>
        <w:t>1.3.3主要规范和标准</w:t>
      </w:r>
    </w:p>
    <w:bookmarkEnd w:id="47"/>
    <w:bookmarkEnd w:id="48"/>
    <w:bookmarkEnd w:id="49"/>
    <w:bookmarkEnd w:id="50"/>
    <w:bookmarkEnd w:id="51"/>
    <w:bookmarkEnd w:id="52"/>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《建筑设计防火规范》GB50016-2014（2018年版）</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《工业企业设计卫生标准》GBZ1-2010</w:t>
      </w:r>
      <w:bookmarkStart w:id="53" w:name="_Toc245272001"/>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《危险货物品名表》GB12268-2012</w:t>
      </w:r>
    </w:p>
    <w:bookmarkEnd w:id="53"/>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《防止静电事故通用导则》GB12158-2006</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《生产过程危险和有害因素分类与代码》GB/T13861-2009</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《工业企业总平面设计规范》GB50187-2012</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《工作场所职业病危害警示标志》GBZ158-2003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《企业职工伤亡事故分类》GB6441-1986</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《危险化学品重大危险源辨识》GB18218-2018</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《工业建筑防腐蚀设计标准》GB/T50046-2018</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《建筑给水排水设计标准》GB50015-2019</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《消防给水及消火栓系统技术规范》GB50974-2014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《工业循环冷却水处理设计规范》GB/T50050-2017</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《建筑物防雷设计规范》GB50057-2010</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《建筑抗震设计规范》GB50011-2010（2016年版）</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《建筑灭火器配置设计规范》GB50140-2005</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《消防安全标志第1部分：标志》GB13495.1—2015</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《消防安全标志的设置要求》GB15630-1995</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《通用用电设备配电设计规范》GB50055-2011</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《20kV及以下变电所设计规范》GB50053-2013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《电力工程电缆设计规范》GB50217-2007</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《交流电气装置的接地设计规范》GB50065-2011</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《低压配电设计规范》GB50054-2011</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《火灾自动报警系统设计规范》 GB50116-2013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lang w:eastAsia="zh-CN"/>
        </w:rPr>
      </w:pPr>
      <w:r>
        <w:rPr>
          <w:rFonts w:hint="eastAsia" w:ascii="宋体" w:hAnsi="宋体" w:eastAsia="宋体" w:cs="宋体"/>
          <w:szCs w:val="28"/>
        </w:rPr>
        <w:t>《爆炸危险环境电力装置设计规范》GB50058-</w:t>
      </w:r>
      <w:r>
        <w:rPr>
          <w:rFonts w:hint="eastAsia" w:ascii="宋体" w:hAnsi="宋体" w:eastAsia="宋体" w:cs="宋体"/>
          <w:color w:val="auto"/>
          <w:szCs w:val="28"/>
        </w:rPr>
        <w:t>201</w:t>
      </w:r>
      <w:r>
        <w:rPr>
          <w:rFonts w:hint="eastAsia" w:ascii="宋体" w:hAnsi="宋体" w:eastAsia="宋体" w:cs="宋体"/>
          <w:color w:val="auto"/>
          <w:szCs w:val="28"/>
          <w:lang w:val="en-US" w:eastAsia="zh-CN"/>
        </w:rPr>
        <w:t>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《系统接地的型式及安全技术要求》GB14050-2008</w:t>
      </w:r>
      <w:bookmarkStart w:id="54" w:name="_Toc222196091"/>
      <w:bookmarkStart w:id="55" w:name="_Toc221610791"/>
      <w:bookmarkStart w:id="56" w:name="_Toc222196282"/>
      <w:bookmarkStart w:id="57" w:name="_Toc222137161"/>
      <w:bookmarkStart w:id="58" w:name="_Toc222195900"/>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《工业企业厂内铁路、道路运输安全规程》GB4387-</w:t>
      </w:r>
      <w:bookmarkEnd w:id="54"/>
      <w:bookmarkEnd w:id="55"/>
      <w:bookmarkEnd w:id="56"/>
      <w:bookmarkEnd w:id="57"/>
      <w:bookmarkEnd w:id="58"/>
      <w:r>
        <w:rPr>
          <w:rFonts w:hint="eastAsia" w:ascii="宋体" w:hAnsi="宋体" w:eastAsia="宋体" w:cs="宋体"/>
          <w:szCs w:val="28"/>
        </w:rPr>
        <w:t>2008</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《职业性接触毒物危害程度分级》GBZ230-2010</w:t>
      </w:r>
    </w:p>
    <w:p>
      <w:pPr>
        <w:pStyle w:val="9"/>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《易燃易爆性商品储藏养护技术条件》（GB17914-2013）</w:t>
      </w:r>
    </w:p>
    <w:p>
      <w:pPr>
        <w:pStyle w:val="9"/>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《腐蚀性商品储藏养护技术条件》（GB17915-2013）</w:t>
      </w:r>
    </w:p>
    <w:p>
      <w:pPr>
        <w:pStyle w:val="9"/>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《毒害性商品储藏养护技术条件》（GB17916-2013）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《工业企业噪声控制设计规范》GB/T50087-2013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《建筑采光设计标准》GB50033-2013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《建筑照明设计标准》GB50034-2013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《石油化工可燃气体和有毒气体检测报警设计标准》GB/T50493-2019</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《固定式压力容器安全技术监察规程》TSG 21-2016</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《安全色》GB2893-2008</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《安全标志及其使用导则》GB2894-2008</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《工业电视系统工程设计规范》GB50115-2009</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《自动化仪表选型设计规定》HG/T20507-2014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《仪表供电设计规定》HG/T20509-2014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《仪表系统接地设计规定》HG/T20513-2014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《信号报警、安全联锁系统设计规定》HG/T20511-2014</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《危险化学品生产单位主要负责人安全生产培训大纲及考核标准》 AQ/T 3029-2010</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《化工企业定量风险评价导则》AQ/T 3046-2013</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《危险化学品生产单位安全生产管理人员安全生产培训大纲及考核标准》AQ/T 3030-2010</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 xml:space="preserve">《安全评价通则》AQ8001-2007 </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Cs w:val="28"/>
        </w:rPr>
        <w:t>《生产经营单位生产安全事故应急预案编制导则》GB/T29639-2020</w:t>
      </w:r>
    </w:p>
    <w:p>
      <w:pPr>
        <w:pStyle w:val="5"/>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bCs w:val="0"/>
          <w:szCs w:val="28"/>
        </w:rPr>
      </w:pPr>
      <w:r>
        <w:rPr>
          <w:rFonts w:hint="eastAsia" w:ascii="宋体" w:hAnsi="宋体" w:eastAsia="宋体" w:cs="宋体"/>
          <w:b w:val="0"/>
          <w:szCs w:val="28"/>
        </w:rPr>
        <w:t>1.3.4评价委托书和技术文件</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1、企业营业执照</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w:t>
      </w:r>
      <w:r>
        <w:rPr>
          <w:rFonts w:hint="eastAsia" w:ascii="宋体" w:hAnsi="宋体" w:eastAsia="宋体" w:cs="宋体"/>
          <w:szCs w:val="28"/>
          <w:lang w:eastAsia="zh-CN"/>
        </w:rPr>
        <w:t>总平面布置图</w:t>
      </w:r>
      <w:r>
        <w:rPr>
          <w:rFonts w:hint="eastAsia" w:ascii="宋体" w:hAnsi="宋体" w:eastAsia="宋体" w:cs="宋体"/>
          <w:szCs w:val="28"/>
        </w:rPr>
        <w:t xml:space="preserve">  </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3、建设工程消防验收意见书</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4、防雷装置检测检验报告</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napToGrid w:val="0"/>
          <w:kern w:val="0"/>
          <w:szCs w:val="28"/>
        </w:rPr>
      </w:pPr>
      <w:r>
        <w:rPr>
          <w:rFonts w:hint="eastAsia" w:ascii="宋体" w:hAnsi="宋体" w:eastAsia="宋体" w:cs="宋体"/>
          <w:szCs w:val="28"/>
        </w:rPr>
        <w:t>5、</w:t>
      </w:r>
      <w:r>
        <w:rPr>
          <w:rFonts w:hint="eastAsia" w:ascii="宋体" w:hAnsi="宋体" w:eastAsia="宋体" w:cs="宋体"/>
          <w:szCs w:val="28"/>
          <w:lang w:eastAsia="zh-CN"/>
        </w:rPr>
        <w:t>气体检测</w:t>
      </w:r>
      <w:r>
        <w:rPr>
          <w:rFonts w:hint="eastAsia" w:ascii="宋体" w:hAnsi="宋体" w:eastAsia="宋体" w:cs="宋体"/>
          <w:szCs w:val="28"/>
        </w:rPr>
        <w:t>校验报告</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6、企业安全生产管理制度、安全技术操作规程、事故应急救援预案及安全管理人员、特种作业人员安全技术培训证书复印件</w:t>
      </w:r>
      <w:r>
        <w:rPr>
          <w:rFonts w:hint="eastAsia" w:ascii="宋体" w:hAnsi="宋体" w:eastAsia="宋体" w:cs="宋体"/>
          <w:szCs w:val="28"/>
          <w:lang w:eastAsia="zh-CN"/>
        </w:rPr>
        <w:t>等资料</w:t>
      </w:r>
      <w:r>
        <w:rPr>
          <w:rFonts w:hint="eastAsia" w:ascii="宋体" w:hAnsi="宋体" w:eastAsia="宋体" w:cs="宋体"/>
          <w:szCs w:val="28"/>
        </w:rPr>
        <w:t>。</w:t>
      </w:r>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59" w:name="_Toc21987"/>
      <w:bookmarkStart w:id="60" w:name="_Toc274377340"/>
      <w:bookmarkStart w:id="61" w:name="_Toc14132"/>
      <w:bookmarkStart w:id="62" w:name="_Toc222196283"/>
      <w:bookmarkStart w:id="63" w:name="_Toc31947"/>
      <w:bookmarkStart w:id="64" w:name="_Toc29082"/>
      <w:bookmarkStart w:id="65" w:name="_Toc342424330"/>
      <w:bookmarkStart w:id="66" w:name="_Toc19564"/>
      <w:r>
        <w:rPr>
          <w:rFonts w:hint="eastAsia" w:ascii="宋体" w:hAnsi="宋体" w:eastAsia="宋体" w:cs="宋体"/>
          <w:sz w:val="30"/>
          <w:szCs w:val="30"/>
        </w:rPr>
        <w:t>1.4安全现状评价范围</w:t>
      </w:r>
      <w:bookmarkEnd w:id="59"/>
      <w:bookmarkEnd w:id="60"/>
      <w:bookmarkEnd w:id="61"/>
      <w:bookmarkEnd w:id="62"/>
      <w:bookmarkEnd w:id="63"/>
      <w:bookmarkEnd w:id="64"/>
      <w:bookmarkEnd w:id="65"/>
      <w:bookmarkEnd w:id="66"/>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szCs w:val="28"/>
        </w:rPr>
        <w:t>本次评价范围为</w:t>
      </w:r>
      <w:r>
        <w:rPr>
          <w:rFonts w:hint="eastAsia" w:ascii="宋体" w:hAnsi="宋体" w:eastAsia="宋体" w:cs="宋体"/>
          <w:szCs w:val="28"/>
          <w:lang w:val="zh-CN"/>
        </w:rPr>
        <w:t>江西乾照光电有限公司（氨回收装置）</w:t>
      </w:r>
      <w:r>
        <w:rPr>
          <w:rFonts w:hint="eastAsia" w:ascii="宋体" w:hAnsi="宋体" w:eastAsia="宋体" w:cs="宋体"/>
          <w:szCs w:val="28"/>
        </w:rPr>
        <w:t>的设施、设备以及储存、经营场所</w:t>
      </w:r>
      <w:r>
        <w:rPr>
          <w:rFonts w:hint="eastAsia" w:ascii="宋体" w:hAnsi="宋体" w:eastAsia="宋体" w:cs="宋体"/>
        </w:rPr>
        <w:t>所涉及到的安全生产问题。具体范围如下：</w:t>
      </w:r>
    </w:p>
    <w:p>
      <w:pPr>
        <w:pStyle w:val="9"/>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包括：104外延芯片厂房的氨回收装置（起：集气管道收集）（3套膜吸收）、113#露天设备区二（终：氨水储罐）、包括配套辅助设施（供电、供水、制冷）、安全管理、应急管理。</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本评价报告主要对上述建设项目范围内涉及到安全生产的危险、有害因素进行识别、危险程度评价，应采取的安全技术对策措施和管理措施等进行综合评价，并检验企业提供的技术资料的有效性，企业对其提供的技术性资料的真实性负责。对于以后新增设备、进行技术改造或生产、工艺条件进行改变或用于生产其他产品均不适合本评价结论。本评价已验收的LED外延片和芯片生产项目一期的生产设备与公用工程及辅助设施不在本次评价范围内。</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凡涉及该项目的厂外运输及环保、消防问题，应执行国家有关标准和规定，不包括在本次评价范围内。</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另外，涉及该项目的职业危害评价由取得职业卫生技术服务机构负责，本报告仅对有害因素进行简要辨识与分析，供企业参考，而不给予评价。另委托方所提供的文件、资料应对其真实性负责，若有虚假导致评价报告失实，本评价方不予承担责任。</w:t>
      </w:r>
    </w:p>
    <w:p>
      <w:pPr>
        <w:pStyle w:val="4"/>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sz w:val="30"/>
          <w:szCs w:val="30"/>
        </w:rPr>
      </w:pPr>
      <w:bookmarkStart w:id="67" w:name="_Toc31368"/>
      <w:bookmarkStart w:id="68" w:name="_Toc24980"/>
      <w:bookmarkStart w:id="69" w:name="_Toc19478"/>
      <w:bookmarkStart w:id="70" w:name="_Toc342424331"/>
      <w:bookmarkStart w:id="71" w:name="_Toc8799"/>
      <w:bookmarkStart w:id="72" w:name="_Toc274377341"/>
      <w:bookmarkStart w:id="73" w:name="_Toc12912"/>
      <w:bookmarkStart w:id="74" w:name="_Toc222196284"/>
      <w:r>
        <w:rPr>
          <w:rFonts w:hint="eastAsia" w:ascii="宋体" w:hAnsi="宋体" w:eastAsia="宋体" w:cs="宋体"/>
          <w:sz w:val="30"/>
          <w:szCs w:val="30"/>
        </w:rPr>
        <w:t>1.5安全现状评价程序</w:t>
      </w:r>
      <w:bookmarkEnd w:id="67"/>
      <w:bookmarkEnd w:id="68"/>
      <w:bookmarkEnd w:id="69"/>
      <w:bookmarkEnd w:id="70"/>
      <w:bookmarkEnd w:id="71"/>
      <w:bookmarkEnd w:id="72"/>
      <w:bookmarkEnd w:id="73"/>
      <w:bookmarkEnd w:id="74"/>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本项目的安全现状评价工作程序按照《安全评价通则》（AQ8001-2007）的要求。具体过程如图1-1。</w:t>
      </w:r>
    </w:p>
    <w:p>
      <w:pPr>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b/>
          <w:sz w:val="24"/>
        </w:rPr>
      </w:pPr>
      <w:bookmarkStart w:id="75" w:name="_Toc274377342"/>
      <w:bookmarkStart w:id="76" w:name="_Toc222196285"/>
      <w:r>
        <w:rPr>
          <w:rFonts w:hint="eastAsia" w:ascii="宋体" w:hAnsi="宋体" w:eastAsia="宋体" w:cs="宋体"/>
          <w:b/>
          <w:sz w:val="24"/>
        </w:rPr>
        <w:br w:type="page"/>
      </w:r>
    </w:p>
    <w:bookmarkEnd w:id="75"/>
    <w:bookmarkEnd w:id="76"/>
    <w:p>
      <w:pPr>
        <w:pStyle w:val="2"/>
        <w:jc w:val="center"/>
        <w:rPr>
          <w:rFonts w:hint="eastAsia" w:ascii="宋体" w:hAnsi="宋体" w:eastAsia="宋体" w:cs="宋体"/>
          <w:kern w:val="0"/>
          <w:szCs w:val="28"/>
          <w:lang w:eastAsia="en-US"/>
        </w:rPr>
      </w:pPr>
    </w:p>
    <w:p>
      <w:pPr>
        <w:pStyle w:val="2"/>
        <w:jc w:val="center"/>
        <w:rPr>
          <w:rFonts w:hint="eastAsia" w:ascii="宋体" w:hAnsi="宋体" w:eastAsia="宋体" w:cs="宋体"/>
          <w:kern w:val="0"/>
          <w:szCs w:val="28"/>
          <w:lang w:eastAsia="en-US"/>
        </w:rPr>
      </w:pPr>
      <w:r>
        <w:rPr>
          <w:rFonts w:hint="eastAsia" w:ascii="宋体" w:hAnsi="宋体" w:eastAsia="宋体" w:cs="宋体"/>
          <w:kern w:val="0"/>
          <w:szCs w:val="28"/>
        </w:rPr>
        <mc:AlternateContent>
          <mc:Choice Requires="wpc">
            <w:drawing>
              <wp:inline distT="0" distB="0" distL="114300" distR="114300">
                <wp:extent cx="2444750" cy="4706620"/>
                <wp:effectExtent l="0" t="4445" r="0" b="0"/>
                <wp:docPr id="1" name="画布 6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1" name="矩形 51"/>
                        <wps:cNvSpPr/>
                        <wps:spPr>
                          <a:xfrm>
                            <a:off x="114300" y="0"/>
                            <a:ext cx="2089150" cy="3714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前期准备</w:t>
                              </w:r>
                            </w:p>
                          </w:txbxContent>
                        </wps:txbx>
                        <wps:bodyPr wrap="square" upright="1"/>
                      </wps:wsp>
                      <wps:wsp>
                        <wps:cNvPr id="52" name="直接连接符 52"/>
                        <wps:cNvCnPr/>
                        <wps:spPr>
                          <a:xfrm>
                            <a:off x="1122045" y="360680"/>
                            <a:ext cx="635" cy="198120"/>
                          </a:xfrm>
                          <a:prstGeom prst="line">
                            <a:avLst/>
                          </a:prstGeom>
                          <a:ln w="9525" cap="flat" cmpd="sng">
                            <a:solidFill>
                              <a:srgbClr val="000000"/>
                            </a:solidFill>
                            <a:prstDash val="solid"/>
                            <a:headEnd type="none" w="med" len="med"/>
                            <a:tailEnd type="triangle" w="sm" len="lg"/>
                          </a:ln>
                          <a:effectLst/>
                        </wps:spPr>
                        <wps:bodyPr/>
                      </wps:wsp>
                      <wps:wsp>
                        <wps:cNvPr id="53" name="矩形 53"/>
                        <wps:cNvSpPr/>
                        <wps:spPr>
                          <a:xfrm>
                            <a:off x="92710" y="580390"/>
                            <a:ext cx="2099310" cy="4140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辨识与分析危险有害因素</w:t>
                              </w:r>
                            </w:p>
                          </w:txbxContent>
                        </wps:txbx>
                        <wps:bodyPr wrap="square" upright="1"/>
                      </wps:wsp>
                      <wps:wsp>
                        <wps:cNvPr id="54" name="矩形 54"/>
                        <wps:cNvSpPr/>
                        <wps:spPr>
                          <a:xfrm>
                            <a:off x="103505" y="1223010"/>
                            <a:ext cx="2099310" cy="3733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划分评价单元</w:t>
                              </w:r>
                            </w:p>
                          </w:txbxContent>
                        </wps:txbx>
                        <wps:bodyPr wrap="square" upright="1"/>
                      </wps:wsp>
                      <wps:wsp>
                        <wps:cNvPr id="55" name="矩形 55"/>
                        <wps:cNvSpPr/>
                        <wps:spPr>
                          <a:xfrm>
                            <a:off x="125095" y="1824355"/>
                            <a:ext cx="2057400" cy="3924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选择评价方法</w:t>
                              </w:r>
                            </w:p>
                          </w:txbxContent>
                        </wps:txbx>
                        <wps:bodyPr wrap="square" upright="1"/>
                      </wps:wsp>
                      <wps:wsp>
                        <wps:cNvPr id="56" name="矩形 56"/>
                        <wps:cNvSpPr/>
                        <wps:spPr>
                          <a:xfrm>
                            <a:off x="135255" y="2413635"/>
                            <a:ext cx="2047240" cy="3930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定性、定量评价</w:t>
                              </w:r>
                            </w:p>
                          </w:txbxContent>
                        </wps:txbx>
                        <wps:bodyPr wrap="square" upright="1"/>
                      </wps:wsp>
                      <wps:wsp>
                        <wps:cNvPr id="57" name="矩形 57"/>
                        <wps:cNvSpPr/>
                        <wps:spPr>
                          <a:xfrm>
                            <a:off x="146050" y="2985135"/>
                            <a:ext cx="2067560" cy="4038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提出安全对策措施建议</w:t>
                              </w:r>
                            </w:p>
                          </w:txbxContent>
                        </wps:txbx>
                        <wps:bodyPr wrap="square" upright="1"/>
                      </wps:wsp>
                      <wps:wsp>
                        <wps:cNvPr id="58" name="矩形 58"/>
                        <wps:cNvSpPr/>
                        <wps:spPr>
                          <a:xfrm>
                            <a:off x="135890" y="3543300"/>
                            <a:ext cx="2058035" cy="4051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做出安全评价结论</w:t>
                              </w:r>
                            </w:p>
                          </w:txbxContent>
                        </wps:txbx>
                        <wps:bodyPr wrap="square" upright="1"/>
                      </wps:wsp>
                      <wps:wsp>
                        <wps:cNvPr id="59" name="矩形 59"/>
                        <wps:cNvSpPr/>
                        <wps:spPr>
                          <a:xfrm>
                            <a:off x="135255" y="4186555"/>
                            <a:ext cx="2067560" cy="37211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24"/>
                                </w:rPr>
                              </w:pPr>
                              <w:r>
                                <w:rPr>
                                  <w:rFonts w:hint="eastAsia"/>
                                  <w:sz w:val="24"/>
                                </w:rPr>
                                <w:t>编制安全评价报告</w:t>
                              </w:r>
                            </w:p>
                          </w:txbxContent>
                        </wps:txbx>
                        <wps:bodyPr wrap="square" upright="1"/>
                      </wps:wsp>
                      <wps:wsp>
                        <wps:cNvPr id="60" name="直接连接符 60"/>
                        <wps:cNvCnPr/>
                        <wps:spPr>
                          <a:xfrm>
                            <a:off x="1143000" y="1003935"/>
                            <a:ext cx="635" cy="198120"/>
                          </a:xfrm>
                          <a:prstGeom prst="line">
                            <a:avLst/>
                          </a:prstGeom>
                          <a:ln w="9525" cap="flat" cmpd="sng">
                            <a:solidFill>
                              <a:srgbClr val="000000"/>
                            </a:solidFill>
                            <a:prstDash val="solid"/>
                            <a:headEnd type="none" w="med" len="med"/>
                            <a:tailEnd type="triangle" w="sm" len="lg"/>
                          </a:ln>
                          <a:effectLst/>
                        </wps:spPr>
                        <wps:bodyPr/>
                      </wps:wsp>
                      <wps:wsp>
                        <wps:cNvPr id="61" name="直接连接符 61"/>
                        <wps:cNvCnPr/>
                        <wps:spPr>
                          <a:xfrm>
                            <a:off x="1143000" y="1605280"/>
                            <a:ext cx="635" cy="198755"/>
                          </a:xfrm>
                          <a:prstGeom prst="line">
                            <a:avLst/>
                          </a:prstGeom>
                          <a:ln w="9525" cap="flat" cmpd="sng">
                            <a:solidFill>
                              <a:srgbClr val="000000"/>
                            </a:solidFill>
                            <a:prstDash val="solid"/>
                            <a:headEnd type="none" w="med" len="med"/>
                            <a:tailEnd type="triangle" w="sm" len="lg"/>
                          </a:ln>
                          <a:effectLst/>
                        </wps:spPr>
                        <wps:bodyPr/>
                      </wps:wsp>
                      <wps:wsp>
                        <wps:cNvPr id="62" name="直接连接符 62"/>
                        <wps:cNvCnPr/>
                        <wps:spPr>
                          <a:xfrm>
                            <a:off x="1153795" y="3995420"/>
                            <a:ext cx="635" cy="197485"/>
                          </a:xfrm>
                          <a:prstGeom prst="line">
                            <a:avLst/>
                          </a:prstGeom>
                          <a:ln w="9525" cap="flat" cmpd="sng">
                            <a:solidFill>
                              <a:srgbClr val="000000"/>
                            </a:solidFill>
                            <a:prstDash val="solid"/>
                            <a:headEnd type="none" w="med" len="med"/>
                            <a:tailEnd type="triangle" w="sm" len="lg"/>
                          </a:ln>
                          <a:effectLst/>
                        </wps:spPr>
                        <wps:bodyPr/>
                      </wps:wsp>
                      <wps:wsp>
                        <wps:cNvPr id="63" name="直接连接符 63"/>
                        <wps:cNvCnPr/>
                        <wps:spPr>
                          <a:xfrm>
                            <a:off x="1143000" y="2278202"/>
                            <a:ext cx="794" cy="198313"/>
                          </a:xfrm>
                          <a:prstGeom prst="line">
                            <a:avLst/>
                          </a:prstGeom>
                          <a:ln w="9525" cap="flat" cmpd="sng">
                            <a:solidFill>
                              <a:srgbClr val="000000"/>
                            </a:solidFill>
                            <a:prstDash val="solid"/>
                            <a:headEnd type="none" w="med" len="med"/>
                            <a:tailEnd type="triangle" w="sm" len="lg"/>
                          </a:ln>
                          <a:effectLst/>
                        </wps:spPr>
                        <wps:bodyPr/>
                      </wps:wsp>
                      <wps:wsp>
                        <wps:cNvPr id="64" name="直接连接符 64"/>
                        <wps:cNvCnPr/>
                        <wps:spPr>
                          <a:xfrm>
                            <a:off x="1143000" y="2773185"/>
                            <a:ext cx="794" cy="198313"/>
                          </a:xfrm>
                          <a:prstGeom prst="line">
                            <a:avLst/>
                          </a:prstGeom>
                          <a:ln w="9525" cap="flat" cmpd="sng">
                            <a:solidFill>
                              <a:srgbClr val="000000"/>
                            </a:solidFill>
                            <a:prstDash val="solid"/>
                            <a:headEnd type="none" w="med" len="med"/>
                            <a:tailEnd type="triangle" w="sm" len="lg"/>
                          </a:ln>
                          <a:effectLst/>
                        </wps:spPr>
                        <wps:bodyPr/>
                      </wps:wsp>
                      <wps:wsp>
                        <wps:cNvPr id="65" name="直接连接符 65"/>
                        <wps:cNvCnPr/>
                        <wps:spPr>
                          <a:xfrm>
                            <a:off x="1143000" y="3332480"/>
                            <a:ext cx="635" cy="197485"/>
                          </a:xfrm>
                          <a:prstGeom prst="line">
                            <a:avLst/>
                          </a:prstGeom>
                          <a:ln w="9525" cap="flat" cmpd="sng">
                            <a:solidFill>
                              <a:srgbClr val="000000"/>
                            </a:solidFill>
                            <a:prstDash val="solid"/>
                            <a:headEnd type="none" w="med" len="med"/>
                            <a:tailEnd type="triangle" w="sm" len="lg"/>
                          </a:ln>
                          <a:effectLst/>
                        </wps:spPr>
                        <wps:bodyPr/>
                      </wps:wsp>
                    </wpc:wpc>
                  </a:graphicData>
                </a:graphic>
              </wp:inline>
            </w:drawing>
          </mc:Choice>
          <mc:Fallback>
            <w:pict>
              <v:group id="画布 66" o:spid="_x0000_s1026" o:spt="203" style="height:370.6pt;width:192.5pt;" coordsize="2444750,4706620" editas="canvas" o:gfxdata="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">
                <o:lock v:ext="edit" aspectratio="f"/>
                <v:shape id="画布 66" o:spid="_x0000_s1026" style="position:absolute;left:0;top:0;height:4706620;width:2444750;" filled="f" stroked="f" coordsize="21600,21600" o:gfxdata="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">
                  <v:fill on="f" focussize="0,0"/>
                  <v:stroke on="f"/>
                  <v:imagedata o:title=""/>
                  <o:lock v:ext="edit" aspectratio="t"/>
                </v:shape>
                <v:rect id="_x0000_s1026" o:spid="_x0000_s1026" o:spt="1" style="position:absolute;left:114300;top:0;height:371475;width:208915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kyENtdQAAAAFAQAADwAAAAAA&#10;AAABACAAAAAiAAAAZHJzL2Rvd25yZXYueG1sUEsBAhQAFAAAAAgAh07iQP6X644XAgAATAQAAA4A&#10;AAAAAAAAAQAgAAAAIwEAAGRycy9lMm9Eb2MueG1sUEsFBgAAAAAGAAYAWQEAAKwFAAAAAA==&#10;">
                  <v:fill on="t" focussize="0,0"/>
                  <v:stroke color="#000000" joinstyle="miter"/>
                  <v:imagedata o:title=""/>
                  <o:lock v:ext="edit" aspectratio="f"/>
                  <v:textbox>
                    <w:txbxContent>
                      <w:p>
                        <w:pPr>
                          <w:jc w:val="center"/>
                          <w:rPr>
                            <w:sz w:val="24"/>
                          </w:rPr>
                        </w:pPr>
                        <w:r>
                          <w:rPr>
                            <w:rFonts w:hint="eastAsia"/>
                            <w:sz w:val="24"/>
                          </w:rPr>
                          <w:t>前期准备</w:t>
                        </w:r>
                      </w:p>
                    </w:txbxContent>
                  </v:textbox>
                </v:rect>
                <v:line id="_x0000_s1026" o:spid="_x0000_s1026" o:spt="20" style="position:absolute;left:1122045;top:360680;height:198120;width:635;"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04KAdcAAAAFAQAADwAAAAAAAAABACAAAAAi&#10;AAAAZHJzL2Rvd25yZXYueG1sUEsBAhQAFAAAAAgAh07iQICIUL0LAgAA9gMAAA4AAAAAAAAAAQAg&#10;AAAAJgEAAGRycy9lMm9Eb2MueG1sUEsFBgAAAAAGAAYAWQEAAKMFAAAAAA==&#10;">
                  <v:fill on="f" focussize="0,0"/>
                  <v:stroke color="#000000" joinstyle="round" endarrow="block" endarrowwidth="narrow" endarrowlength="long"/>
                  <v:imagedata o:title=""/>
                  <o:lock v:ext="edit" aspectratio="f"/>
                </v:line>
                <v:rect id="_x0000_s1026" o:spid="_x0000_s1026" o:spt="1" style="position:absolute;left:92710;top:580390;height:414020;width:209931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IQ211AAAAAUBAAAP&#10;AAAAAAAAAAEAIAAAACIAAABkcnMvZG93bnJldi54bWxQSwECFAAUAAAACACHTuJAxEzN9RwCAABQ&#10;BAAADgAAAAAAAAABACAAAAAjAQAAZHJzL2Uyb0RvYy54bWxQSwUGAAAAAAYABgBZAQAAsQUAAAAA&#10;">
                  <v:fill on="t" focussize="0,0"/>
                  <v:stroke color="#000000" joinstyle="miter"/>
                  <v:imagedata o:title=""/>
                  <o:lock v:ext="edit" aspectratio="f"/>
                  <v:textbox>
                    <w:txbxContent>
                      <w:p>
                        <w:pPr>
                          <w:jc w:val="center"/>
                          <w:rPr>
                            <w:sz w:val="24"/>
                          </w:rPr>
                        </w:pPr>
                        <w:r>
                          <w:rPr>
                            <w:rFonts w:hint="eastAsia"/>
                            <w:sz w:val="24"/>
                          </w:rPr>
                          <w:t>辨识与分析危险有害因素</w:t>
                        </w:r>
                      </w:p>
                    </w:txbxContent>
                  </v:textbox>
                </v:rect>
                <v:rect id="_x0000_s1026" o:spid="_x0000_s1026" o:spt="1" style="position:absolute;left:103505;top:1223010;height:373380;width:209931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yENtdQAAAAFAQAA&#10;DwAAAAAAAAABACAAAAAiAAAAZHJzL2Rvd25yZXYueG1sUEsBAhQAFAAAAAgAh07iQEzcrsUdAgAA&#10;UgQAAA4AAAAAAAAAAQAgAAAAIwEAAGRycy9lMm9Eb2MueG1sUEsFBgAAAAAGAAYAWQEAALIFAAAA&#10;AA==&#10;">
                  <v:fill on="t" focussize="0,0"/>
                  <v:stroke color="#000000" joinstyle="miter"/>
                  <v:imagedata o:title=""/>
                  <o:lock v:ext="edit" aspectratio="f"/>
                  <v:textbox>
                    <w:txbxContent>
                      <w:p>
                        <w:pPr>
                          <w:jc w:val="center"/>
                          <w:rPr>
                            <w:sz w:val="24"/>
                          </w:rPr>
                        </w:pPr>
                        <w:r>
                          <w:rPr>
                            <w:rFonts w:hint="eastAsia"/>
                            <w:sz w:val="24"/>
                          </w:rPr>
                          <w:t>划分评价单元</w:t>
                        </w:r>
                      </w:p>
                    </w:txbxContent>
                  </v:textbox>
                </v:rect>
                <v:rect id="_x0000_s1026" o:spid="_x0000_s1026" o:spt="1" style="position:absolute;left:125095;top:1824355;height:392430;width:205740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yENtdQAAAAFAQAA&#10;DwAAAAAAAAABACAAAAAiAAAAZHJzL2Rvd25yZXYueG1sUEsBAhQAFAAAAAgAh07iQNaA7RkdAgAA&#10;UgQAAA4AAAAAAAAAAQAgAAAAIwEAAGRycy9lMm9Eb2MueG1sUEsFBgAAAAAGAAYAWQEAALIFAAAA&#10;AA==&#10;">
                  <v:fill on="t" focussize="0,0"/>
                  <v:stroke color="#000000" joinstyle="miter"/>
                  <v:imagedata o:title=""/>
                  <o:lock v:ext="edit" aspectratio="f"/>
                  <v:textbox>
                    <w:txbxContent>
                      <w:p>
                        <w:pPr>
                          <w:jc w:val="center"/>
                          <w:rPr>
                            <w:sz w:val="24"/>
                          </w:rPr>
                        </w:pPr>
                        <w:r>
                          <w:rPr>
                            <w:rFonts w:hint="eastAsia"/>
                            <w:sz w:val="24"/>
                          </w:rPr>
                          <w:t>选择评价方法</w:t>
                        </w:r>
                      </w:p>
                    </w:txbxContent>
                  </v:textbox>
                </v:rect>
                <v:rect id="_x0000_s1026" o:spid="_x0000_s1026" o:spt="1" style="position:absolute;left:135255;top:2413635;height:393065;width:204724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IQ211AAAAAUB&#10;AAAPAAAAAAAAAAEAIAAAACIAAABkcnMvZG93bnJldi54bWxQSwECFAAUAAAACACHTuJAnOrxIB8C&#10;AABSBAAADgAAAAAAAAABACAAAAAjAQAAZHJzL2Uyb0RvYy54bWxQSwUGAAAAAAYABgBZAQAAtAUA&#10;AAAA&#10;">
                  <v:fill on="t" focussize="0,0"/>
                  <v:stroke color="#000000" joinstyle="miter"/>
                  <v:imagedata o:title=""/>
                  <o:lock v:ext="edit" aspectratio="f"/>
                  <v:textbox>
                    <w:txbxContent>
                      <w:p>
                        <w:pPr>
                          <w:jc w:val="center"/>
                          <w:rPr>
                            <w:sz w:val="24"/>
                          </w:rPr>
                        </w:pPr>
                        <w:r>
                          <w:rPr>
                            <w:rFonts w:hint="eastAsia"/>
                            <w:sz w:val="24"/>
                          </w:rPr>
                          <w:t>定性、定量评价</w:t>
                        </w:r>
                      </w:p>
                    </w:txbxContent>
                  </v:textbox>
                </v:rect>
                <v:rect id="_x0000_s1026" o:spid="_x0000_s1026" o:spt="1" style="position:absolute;left:146050;top:2985135;height:403860;width:206756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MhDbXUAAAABQEA&#10;AA8AAAAAAAAAAQAgAAAAIgAAAGRycy9kb3ducmV2LnhtbFBLAQIUABQAAAAIAIdO4kCX4UjpHgIA&#10;AFIEAAAOAAAAAAAAAAEAIAAAACMBAABkcnMvZTJvRG9jLnhtbFBLBQYAAAAABgAGAFkBAACzBQAA&#10;AAA=&#10;">
                  <v:fill on="t" focussize="0,0"/>
                  <v:stroke color="#000000" joinstyle="miter"/>
                  <v:imagedata o:title=""/>
                  <o:lock v:ext="edit" aspectratio="f"/>
                  <v:textbox>
                    <w:txbxContent>
                      <w:p>
                        <w:pPr>
                          <w:jc w:val="center"/>
                          <w:rPr>
                            <w:sz w:val="24"/>
                          </w:rPr>
                        </w:pPr>
                        <w:r>
                          <w:rPr>
                            <w:rFonts w:hint="eastAsia"/>
                            <w:sz w:val="24"/>
                          </w:rPr>
                          <w:t>提出安全对策措施建议</w:t>
                        </w:r>
                      </w:p>
                    </w:txbxContent>
                  </v:textbox>
                </v:rect>
                <v:rect id="_x0000_s1026" o:spid="_x0000_s1026" o:spt="1" style="position:absolute;left:135890;top:3543300;height:405130;width:2058035;"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IQ211AAAAAUB&#10;AAAPAAAAAAAAAAEAIAAAACIAAABkcnMvZG93bnJldi54bWxQSwECFAAUAAAACACHTuJAO66Mox8C&#10;AABSBAAADgAAAAAAAAABACAAAAAjAQAAZHJzL2Uyb0RvYy54bWxQSwUGAAAAAAYABgBZAQAAtAUA&#10;AAAA&#10;">
                  <v:fill on="t" focussize="0,0"/>
                  <v:stroke color="#000000" joinstyle="miter"/>
                  <v:imagedata o:title=""/>
                  <o:lock v:ext="edit" aspectratio="f"/>
                  <v:textbox>
                    <w:txbxContent>
                      <w:p>
                        <w:pPr>
                          <w:jc w:val="center"/>
                          <w:rPr>
                            <w:sz w:val="24"/>
                          </w:rPr>
                        </w:pPr>
                        <w:r>
                          <w:rPr>
                            <w:rFonts w:hint="eastAsia"/>
                            <w:sz w:val="24"/>
                          </w:rPr>
                          <w:t>做出安全评价结论</w:t>
                        </w:r>
                      </w:p>
                    </w:txbxContent>
                  </v:textbox>
                </v:rect>
                <v:rect id="_x0000_s1026" o:spid="_x0000_s1026" o:spt="1" style="position:absolute;left:135255;top:4186555;height:372110;width:2067560;" fillcolor="#FFFFFF" filled="t" stroked="t" coordsize="21600,21600" o:gfxdata="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IQ211AAAAAUB&#10;AAAPAAAAAAAAAAEAIAAAACIAAABkcnMvZG93bnJldi54bWxQSwECFAAUAAAACACHTuJANFsKTR8C&#10;AABSBAAADgAAAAAAAAABACAAAAAjAQAAZHJzL2Uyb0RvYy54bWxQSwUGAAAAAAYABgBZAQAAtAUA&#10;AAAA&#10;">
                  <v:fill on="t" focussize="0,0"/>
                  <v:stroke color="#000000" joinstyle="miter"/>
                  <v:imagedata o:title=""/>
                  <o:lock v:ext="edit" aspectratio="f"/>
                  <v:textbox>
                    <w:txbxContent>
                      <w:p>
                        <w:pPr>
                          <w:jc w:val="center"/>
                          <w:rPr>
                            <w:sz w:val="24"/>
                          </w:rPr>
                        </w:pPr>
                        <w:r>
                          <w:rPr>
                            <w:rFonts w:hint="eastAsia"/>
                            <w:sz w:val="24"/>
                          </w:rPr>
                          <w:t>编制安全评价报告</w:t>
                        </w:r>
                      </w:p>
                    </w:txbxContent>
                  </v:textbox>
                </v:rect>
                <v:line id="_x0000_s1026" o:spid="_x0000_s1026" o:spt="20" style="position:absolute;left:1143000;top:1003935;height:198120;width:635;"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NOCgHXAAAABQEAAA8AAAAAAAAAAQAgAAAAIgAA&#10;AGRycy9kb3ducmV2LnhtbFBLAQIUABQAAAAIAIdO4kDjahpkCQIAAPcDAAAOAAAAAAAAAAEAIAAA&#10;ACYBAABkcnMvZTJvRG9jLnhtbFBLBQYAAAAABgAGAFkBAAChBQAAAAA=&#10;">
                  <v:fill on="f" focussize="0,0"/>
                  <v:stroke color="#000000" joinstyle="round" endarrow="block" endarrowwidth="narrow" endarrowlength="long"/>
                  <v:imagedata o:title=""/>
                  <o:lock v:ext="edit" aspectratio="f"/>
                </v:line>
                <v:line id="_x0000_s1026" o:spid="_x0000_s1026" o:spt="20" style="position:absolute;left:1143000;top:1605280;height:198755;width:635;"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04KAdcAAAAFAQAADwAAAAAAAAABACAAAAAiAAAA&#10;ZHJzL2Rvd25yZXYueG1sUEsBAhQAFAAAAAgAh07iQN8qd68IAgAA9wMAAA4AAAAAAAAAAQAgAAAA&#10;JgEAAGRycy9lMm9Eb2MueG1sUEsFBgAAAAAGAAYAWQEAAKAFAAAAAA==&#10;">
                  <v:fill on="f" focussize="0,0"/>
                  <v:stroke color="#000000" joinstyle="round" endarrow="block" endarrowwidth="narrow" endarrowlength="long"/>
                  <v:imagedata o:title=""/>
                  <o:lock v:ext="edit" aspectratio="f"/>
                </v:line>
                <v:line id="_x0000_s1026" o:spid="_x0000_s1026" o:spt="20" style="position:absolute;left:1153795;top:3995420;height:197485;width:635;"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zTgoB1wAAAAUBAAAPAAAAAAAAAAEAIAAAACIA&#10;AABkcnMvZG93bnJldi54bWxQSwECFAAUAAAACACHTuJA8QPe3woCAAD3AwAADgAAAAAAAAABACAA&#10;AAAmAQAAZHJzL2Uyb0RvYy54bWxQSwUGAAAAAAYABgBZAQAAogUAAAAA&#10;">
                  <v:fill on="f" focussize="0,0"/>
                  <v:stroke color="#000000" joinstyle="round" endarrow="block" endarrowwidth="narrow" endarrowlength="long"/>
                  <v:imagedata o:title=""/>
                  <o:lock v:ext="edit" aspectratio="f"/>
                </v:line>
                <v:line id="_x0000_s1026" o:spid="_x0000_s1026" o:spt="20" style="position:absolute;left:1143000;top:2278202;height:198313;width:794;"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04KAdcAAAAFAQAADwAAAAAAAAABACAA&#10;AAAiAAAAZHJzL2Rvd25yZXYueG1sUEsBAhQAFAAAAAgAh07iQIeA8/8OAgAA9wMAAA4AAAAAAAAA&#10;AQAgAAAAJgEAAGRycy9lMm9Eb2MueG1sUEsFBgAAAAAGAAYAWQEAAKYFAAAAAA==&#10;">
                  <v:fill on="f" focussize="0,0"/>
                  <v:stroke color="#000000" joinstyle="round" endarrow="block" endarrowwidth="narrow" endarrowlength="long"/>
                  <v:imagedata o:title=""/>
                  <o:lock v:ext="edit" aspectratio="f"/>
                </v:line>
                <v:line id="_x0000_s1026" o:spid="_x0000_s1026" o:spt="20" style="position:absolute;left:1143000;top:2773185;height:198313;width:794;"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NOCgHXAAAABQEAAA8AAAAAAAAAAQAgAAAA&#10;IgAAAGRycy9kb3ducmV2LnhtbFBLAQIUABQAAAAIAIdO4kAvhhIGDAIAAPcDAAAOAAAAAAAAAAEA&#10;IAAAACYBAABkcnMvZTJvRG9jLnhtbFBLBQYAAAAABgAGAFkBAACkBQAAAAA=&#10;">
                  <v:fill on="f" focussize="0,0"/>
                  <v:stroke color="#000000" joinstyle="round" endarrow="block" endarrowwidth="narrow" endarrowlength="long"/>
                  <v:imagedata o:title=""/>
                  <o:lock v:ext="edit" aspectratio="f"/>
                </v:line>
                <v:line id="_x0000_s1026" o:spid="_x0000_s1026" o:spt="20" style="position:absolute;left:1143000;top:3332480;height:197485;width:635;" filled="f" stroked="t" coordsize="21600,21600" o:gfxdata="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NOCgHXAAAABQEAAA8AAAAAAAAAAQAgAAAA&#10;IgAAAGRycy9kb3ducmV2LnhtbFBLAQIUABQAAAAIAIdO4kCM5618DAIAAPcDAAAOAAAAAAAAAAEA&#10;IAAAACYBAABkcnMvZTJvRG9jLnhtbFBLBQYAAAAABgAGAFkBAACkBQAAAAA=&#10;">
                  <v:fill on="f" focussize="0,0"/>
                  <v:stroke color="#000000" joinstyle="round" endarrow="block" endarrowwidth="narrow" endarrowlength="long"/>
                  <v:imagedata o:title=""/>
                  <o:lock v:ext="edit" aspectratio="f"/>
                </v:line>
                <w10:wrap type="none"/>
                <w10:anchorlock/>
              </v:group>
            </w:pict>
          </mc:Fallback>
        </mc:AlternateContent>
      </w:r>
    </w:p>
    <w:p>
      <w:pPr>
        <w:spacing w:line="600" w:lineRule="exact"/>
        <w:jc w:val="center"/>
        <w:rPr>
          <w:rFonts w:hint="eastAsia" w:ascii="宋体" w:hAnsi="宋体" w:eastAsia="宋体" w:cs="宋体"/>
          <w:b/>
          <w:sz w:val="24"/>
        </w:rPr>
      </w:pPr>
      <w:r>
        <w:rPr>
          <w:rFonts w:hint="eastAsia" w:ascii="宋体" w:hAnsi="宋体" w:eastAsia="宋体" w:cs="宋体"/>
          <w:b/>
          <w:sz w:val="24"/>
        </w:rPr>
        <w:t>图1-1评价程序框图</w:t>
      </w:r>
    </w:p>
    <w:p>
      <w:pPr>
        <w:pStyle w:val="3"/>
        <w:keepNext w:val="0"/>
        <w:keepLines w:val="0"/>
        <w:pageBreakBefore w:val="0"/>
        <w:kinsoku/>
        <w:wordWrap/>
        <w:overflowPunct/>
        <w:topLinePunct w:val="0"/>
        <w:autoSpaceDE/>
        <w:bidi w:val="0"/>
        <w:adjustRightInd/>
        <w:snapToGrid/>
        <w:spacing w:line="600" w:lineRule="exact"/>
        <w:textAlignment w:val="auto"/>
        <w:rPr>
          <w:rFonts w:hint="eastAsia" w:ascii="宋体" w:hAnsi="宋体" w:eastAsia="宋体" w:cs="宋体"/>
        </w:rPr>
      </w:pPr>
      <w:r>
        <w:rPr>
          <w:rFonts w:hint="eastAsia" w:ascii="宋体" w:hAnsi="宋体" w:eastAsia="宋体" w:cs="宋体"/>
          <w:kern w:val="0"/>
          <w:szCs w:val="28"/>
        </w:rPr>
        <w:br w:type="page"/>
      </w:r>
      <w:bookmarkStart w:id="77" w:name="_Toc2169"/>
      <w:bookmarkStart w:id="78" w:name="_Toc15714"/>
      <w:bookmarkStart w:id="79" w:name="_Toc31372"/>
      <w:r>
        <w:rPr>
          <w:rFonts w:hint="eastAsia" w:ascii="宋体" w:hAnsi="宋体" w:eastAsia="宋体" w:cs="宋体"/>
        </w:rPr>
        <w:t>2、建设项目概况</w:t>
      </w:r>
      <w:bookmarkEnd w:id="77"/>
      <w:bookmarkEnd w:id="78"/>
      <w:bookmarkEnd w:id="79"/>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80" w:name="_Toc342424333"/>
      <w:bookmarkStart w:id="81" w:name="_Toc23572"/>
      <w:bookmarkStart w:id="82" w:name="_Toc17068"/>
      <w:bookmarkStart w:id="83" w:name="_Toc5179"/>
      <w:bookmarkStart w:id="84" w:name="_Toc31758"/>
      <w:bookmarkStart w:id="85" w:name="_Toc17055"/>
      <w:bookmarkStart w:id="86" w:name="_Toc274377343"/>
      <w:r>
        <w:rPr>
          <w:rFonts w:hint="eastAsia" w:ascii="宋体" w:hAnsi="宋体" w:eastAsia="宋体" w:cs="宋体"/>
          <w:sz w:val="30"/>
          <w:szCs w:val="30"/>
        </w:rPr>
        <w:t>2.1建设单位概况</w:t>
      </w:r>
      <w:bookmarkEnd w:id="80"/>
      <w:bookmarkEnd w:id="81"/>
      <w:bookmarkEnd w:id="82"/>
      <w:bookmarkEnd w:id="83"/>
      <w:bookmarkEnd w:id="84"/>
      <w:bookmarkEnd w:id="85"/>
      <w:bookmarkEnd w:id="86"/>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 xml:space="preserve">江西乾照光电有限公司成立于2017年7月，注册资本20亿元，系厦门乾照光电股份有限公司的全资子公司。江西乾照光电有限公司南昌基地项目位于南昌市新建区长堎工业园区（望城新区）宁远大街1288号。其母公司厦门乾照光电股份有限公司成立于2006年，于2010年8月在深圳证券交易所创业板上市，公司主要生产全色系超高亮度LED外延片及芯片、高性能砷化镓太阳能电池、LED照明产品，并提供节能照明应用解决方案。  </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江西乾照光电有限公司于2017年7月获得新建区发展和改革委员会同意，取得“乾照光电南昌基地项目”备案（新发改字〔2017〕340号），目前已建设并运行月产60万片规模蓝绿芯片生产基地（一期）项目，并于2021年10月取得了由南昌安达安全技术咨询限公司出具的安全验收评价报告。由于该企业副产品氨水需要办理危险化学品经营许可证，委托江西赣昌安全生产科技服务有限公司承担该企业氨回收装置的安全现状评价工作。</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公司现有员工1050人，成立了安全生产委员会并设置了安环部，配备专职安全管理人员5名</w:t>
      </w:r>
      <w:bookmarkStart w:id="87" w:name="_Toc204429118"/>
      <w:bookmarkStart w:id="88" w:name="_Toc923"/>
      <w:bookmarkStart w:id="89" w:name="_Toc525109137"/>
      <w:r>
        <w:rPr>
          <w:rFonts w:hint="eastAsia" w:ascii="宋体" w:hAnsi="宋体" w:eastAsia="宋体" w:cs="宋体"/>
          <w:szCs w:val="28"/>
        </w:rPr>
        <w:t>。</w:t>
      </w:r>
    </w:p>
    <w:p>
      <w:pPr>
        <w:pStyle w:val="4"/>
        <w:keepNext w:val="0"/>
        <w:keepLines w:val="0"/>
        <w:pageBreakBefore w:val="0"/>
        <w:kinsoku/>
        <w:wordWrap/>
        <w:overflowPunct/>
        <w:topLinePunct w:val="0"/>
        <w:autoSpaceDE/>
        <w:bidi w:val="0"/>
        <w:adjustRightInd/>
        <w:snapToGrid/>
        <w:spacing w:line="600" w:lineRule="exact"/>
        <w:jc w:val="left"/>
        <w:textAlignment w:val="auto"/>
        <w:rPr>
          <w:rFonts w:hint="eastAsia" w:ascii="宋体" w:hAnsi="宋体" w:eastAsia="宋体" w:cs="宋体"/>
          <w:sz w:val="30"/>
          <w:szCs w:val="30"/>
        </w:rPr>
      </w:pPr>
      <w:bookmarkStart w:id="90" w:name="_Toc206"/>
      <w:bookmarkStart w:id="91" w:name="_Toc20595"/>
      <w:r>
        <w:rPr>
          <w:rFonts w:hint="eastAsia" w:ascii="宋体" w:hAnsi="宋体" w:eastAsia="宋体" w:cs="宋体"/>
          <w:sz w:val="30"/>
          <w:szCs w:val="30"/>
        </w:rPr>
        <w:t>2.2</w:t>
      </w:r>
      <w:bookmarkEnd w:id="87"/>
      <w:r>
        <w:rPr>
          <w:rFonts w:hint="eastAsia" w:ascii="宋体" w:hAnsi="宋体" w:eastAsia="宋体" w:cs="宋体"/>
          <w:sz w:val="30"/>
          <w:szCs w:val="30"/>
        </w:rPr>
        <w:t>地理位置与周边环境</w:t>
      </w:r>
      <w:bookmarkEnd w:id="88"/>
      <w:bookmarkEnd w:id="89"/>
      <w:bookmarkEnd w:id="90"/>
      <w:bookmarkEnd w:id="91"/>
    </w:p>
    <w:p>
      <w:pPr>
        <w:pStyle w:val="5"/>
        <w:keepNext w:val="0"/>
        <w:keepLines w:val="0"/>
        <w:pageBreakBefore w:val="0"/>
        <w:kinsoku/>
        <w:wordWrap/>
        <w:overflowPunct/>
        <w:topLinePunct w:val="0"/>
        <w:autoSpaceDE/>
        <w:bidi w:val="0"/>
        <w:adjustRightInd/>
        <w:snapToGrid/>
        <w:spacing w:line="600" w:lineRule="exact"/>
        <w:jc w:val="both"/>
        <w:textAlignment w:val="auto"/>
        <w:rPr>
          <w:rFonts w:hint="eastAsia" w:ascii="宋体" w:hAnsi="宋体" w:eastAsia="宋体" w:cs="宋体"/>
          <w:sz w:val="24"/>
          <w:szCs w:val="24"/>
        </w:rPr>
      </w:pPr>
      <w:r>
        <w:rPr>
          <w:rFonts w:hint="eastAsia" w:ascii="宋体" w:hAnsi="宋体" w:eastAsia="宋体" w:cs="宋体"/>
          <w:b w:val="0"/>
          <w:bCs w:val="0"/>
          <w:szCs w:val="28"/>
        </w:rPr>
        <w:t>2.2.1地理位置</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bookmarkStart w:id="92" w:name="_Toc17603"/>
      <w:r>
        <w:rPr>
          <w:rFonts w:hint="eastAsia" w:ascii="宋体" w:hAnsi="宋体" w:eastAsia="宋体" w:cs="宋体"/>
          <w:szCs w:val="28"/>
        </w:rPr>
        <w:t>1、地理位置</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企业位于江西南昌市新建区，地处南昌以西，属省会南昌市，西邻安义县，北与永修县毗邻。京九铁路、昌九高速公路贯境而过，交通便捷，距南昌市区仅20分钟车程，距昌北国际机场10分钟车程，距江西最大外运港口九江和国际名山庐山60分钟车程，全面融入了南昌半小时经济圈和临空经济圈。地理位置图如下：</w:t>
      </w:r>
    </w:p>
    <w:p>
      <w:pPr>
        <w:keepNext w:val="0"/>
        <w:keepLines w:val="0"/>
        <w:pageBreakBefore w:val="0"/>
        <w:kinsoku/>
        <w:wordWrap/>
        <w:overflowPunct/>
        <w:topLinePunct w:val="0"/>
        <w:autoSpaceDE/>
        <w:bidi w:val="0"/>
        <w:adjustRightInd/>
        <w:snapToGrid/>
        <w:spacing w:line="600" w:lineRule="exact"/>
        <w:jc w:val="center"/>
        <w:textAlignment w:val="auto"/>
        <w:rPr>
          <w:rFonts w:hint="eastAsia" w:ascii="宋体" w:hAnsi="宋体" w:eastAsia="宋体" w:cs="宋体"/>
          <w:szCs w:val="28"/>
        </w:rPr>
      </w:pPr>
      <w:r>
        <w:rPr>
          <w:rFonts w:hint="eastAsia" w:ascii="宋体" w:hAnsi="宋体" w:eastAsia="宋体" w:cs="宋体"/>
        </w:rPr>
        <w:drawing>
          <wp:anchor distT="0" distB="0" distL="114300" distR="114300" simplePos="0" relativeHeight="251660288" behindDoc="0" locked="0" layoutInCell="1" allowOverlap="1">
            <wp:simplePos x="0" y="0"/>
            <wp:positionH relativeFrom="column">
              <wp:posOffset>19050</wp:posOffset>
            </wp:positionH>
            <wp:positionV relativeFrom="paragraph">
              <wp:posOffset>90170</wp:posOffset>
            </wp:positionV>
            <wp:extent cx="5760720" cy="4353560"/>
            <wp:effectExtent l="0" t="0" r="11430" b="8890"/>
            <wp:wrapTopAndBottom/>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1"/>
                    <a:stretch>
                      <a:fillRect/>
                    </a:stretch>
                  </pic:blipFill>
                  <pic:spPr>
                    <a:xfrm>
                      <a:off x="0" y="0"/>
                      <a:ext cx="5760720" cy="4353560"/>
                    </a:xfrm>
                    <a:prstGeom prst="rect">
                      <a:avLst/>
                    </a:prstGeom>
                    <a:noFill/>
                    <a:ln>
                      <a:noFill/>
                    </a:ln>
                  </pic:spPr>
                </pic:pic>
              </a:graphicData>
            </a:graphic>
          </wp:anchor>
        </w:drawing>
      </w:r>
      <w:r>
        <w:rPr>
          <w:rFonts w:hint="eastAsia" w:ascii="宋体" w:hAnsi="宋体" w:eastAsia="宋体" w:cs="宋体"/>
          <w:sz w:val="24"/>
          <w:szCs w:val="22"/>
        </w:rPr>
        <w:t>图2-1企业地理位置图</w:t>
      </w:r>
    </w:p>
    <w:p>
      <w:pPr>
        <w:keepNext w:val="0"/>
        <w:keepLines w:val="0"/>
        <w:pageBreakBefore w:val="0"/>
        <w:kinsoku/>
        <w:wordWrap/>
        <w:overflowPunct/>
        <w:topLinePunct w:val="0"/>
        <w:autoSpaceDE/>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2、水文、地形、地貌、地质</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南昌市自古就是一座水城，城市因水而发，缘水而兴，南昌市古民谚就有“七门九州十八坡，三湖九津通赣鄱”之称。水网密布，赣江、抚河、玉带河、锦江、潦河纵横境内，湖泊众多，有军山湖、金溪湖、青岚湖、瑶湖等数百个大小湖泊，南昌市市区湖泊主要有城外四湖：青山湖、艾溪湖、象湖、黄家湖（含礼步湖、蝶子湖），城内四湖：东湖、西湖、南湖、北湖。城在湖中，湖在城中。南昌市具有“西山东水”的自然地势，是一座名副其实的东方水城。全市年均产水量为66.25亿立方米，地表水资源为61.53亿立方米，地表径流量为51.42亿立方米，还原水量为4.07亿立方米，地下水资源为14.97亿立方米。水资源蕴藏量为7.27万千瓦，可供开发的资源为2.45万千瓦，占蕴藏量的33.7%。</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企业附近交通便利，地势平坦，地层较为简单，属鄱阳湖平原地区，地势南高北低，呈缓慢倾斜状，隆起与下降，变化微小。除几条近南向北分布的带状、垄岗状局部低丘外，均较平坦。工程地质条件较好，厂址地下水对各水泥无侵蚀性。周边均为工贸类企业用地，无民用居住区，无珍稀保护物种和名胜古迹。</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企业场址所在地属于低矮丘陵地形，地势较开阔。企业场址地质类型属扬子准地台地质构造单元，地层发育较健全，出露良好，出露地层包括第四系冲堆积层和中新生代红岩层。第四系冲堆积层一般厚15--20米，具二元相结构，上部有粘性土，下部为砂及砂砾石层，中新生代红岩层一般为砂岩和含砂泥岩，地质结构稳定。企业场址及周边多年来没有发生过地质灾害事件，企业也不存在诱发地质灾害的风险。根据《中国地震动参数区划图》（GB18306-2015），地震烈度为6度，区域构造稳定性较好，企业设计烈度按6度进行抗震设计。</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szCs w:val="28"/>
        </w:rPr>
      </w:pPr>
      <w:r>
        <w:rPr>
          <w:rFonts w:hint="eastAsia" w:ascii="宋体" w:hAnsi="宋体" w:eastAsia="宋体" w:cs="宋体"/>
          <w:szCs w:val="28"/>
        </w:rPr>
        <w:t>3、气候条件</w:t>
      </w:r>
    </w:p>
    <w:p>
      <w:pPr>
        <w:keepNext w:val="0"/>
        <w:keepLines w:val="0"/>
        <w:pageBreakBefore w:val="0"/>
        <w:kinsoku/>
        <w:wordWrap/>
        <w:overflowPunct/>
        <w:topLinePunct w:val="0"/>
        <w:autoSpaceDE/>
        <w:bidi w:val="0"/>
        <w:adjustRightInd/>
        <w:snapToGrid/>
        <w:spacing w:line="600" w:lineRule="exact"/>
        <w:ind w:firstLine="560"/>
        <w:textAlignment w:val="auto"/>
        <w:rPr>
          <w:rFonts w:hint="eastAsia" w:ascii="宋体" w:hAnsi="宋体" w:eastAsia="宋体" w:cs="宋体"/>
          <w:kern w:val="0"/>
          <w:szCs w:val="28"/>
        </w:rPr>
      </w:pPr>
      <w:r>
        <w:rPr>
          <w:rFonts w:hint="eastAsia" w:ascii="宋体" w:hAnsi="宋体" w:eastAsia="宋体" w:cs="宋体"/>
          <w:szCs w:val="28"/>
        </w:rPr>
        <w:t>南昌市地处亚热带季风气候区，气候温和湿润、日照充足、雨水充沛。四季分明，冬季多北风，秋季多东北风，夏季多西南风或南风。4至6月是雨季，雨量占全年降水量的50%左右。由于受季风影响以及特殊地理位置，形成“春季多雨伴低温，春末夏初多洪涝，盛夏干旱又酷热，秋高气爽雨水少，冬寒冷无霜期长”的气候特点。历年平均气温17.5 ℃，历年极端最高气温40.7℃，历年极端最低气温-13.9℃，历年平均降水量1567.7～1654.7mm，年最大降水量2356mm，年最小降水量1046mm，年日照时1881.4h，平均风速2.4 m/s，年平均相对湿度77 %</w:t>
      </w:r>
      <w:r>
        <w:rPr>
          <w:rFonts w:hint="eastAsia" w:ascii="宋体" w:hAnsi="宋体" w:eastAsia="宋体" w:cs="宋体"/>
          <w:kern w:val="0"/>
          <w:szCs w:val="28"/>
        </w:rPr>
        <w:t>。</w:t>
      </w:r>
    </w:p>
    <w:p>
      <w:pPr>
        <w:pStyle w:val="5"/>
        <w:keepNext w:val="0"/>
        <w:keepLines w:val="0"/>
        <w:pageBreakBefore w:val="0"/>
        <w:kinsoku/>
        <w:wordWrap/>
        <w:overflowPunct/>
        <w:topLinePunct w:val="0"/>
        <w:autoSpaceDE/>
        <w:bidi w:val="0"/>
        <w:adjustRightInd/>
        <w:snapToGrid/>
        <w:spacing w:line="600" w:lineRule="exact"/>
        <w:jc w:val="both"/>
        <w:textAlignment w:val="auto"/>
        <w:rPr>
          <w:rFonts w:hint="eastAsia" w:ascii="宋体" w:hAnsi="宋体" w:eastAsia="宋体" w:cs="宋体"/>
          <w:b w:val="0"/>
          <w:bCs w:val="0"/>
          <w:sz w:val="30"/>
          <w:szCs w:val="30"/>
        </w:rPr>
      </w:pPr>
      <w:r>
        <w:rPr>
          <w:rFonts w:hint="eastAsia" w:ascii="宋体" w:hAnsi="宋体" w:eastAsia="宋体" w:cs="宋体"/>
          <w:b w:val="0"/>
          <w:bCs w:val="0"/>
          <w:szCs w:val="28"/>
        </w:rPr>
        <w:t>2.2.2周边环境</w:t>
      </w:r>
      <w:bookmarkEnd w:id="92"/>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该企业位于新建区长堎工业园。厂区用地为南北狭长形状，被启阳街（原名工业八路）分隔为（北面的）地块一和（南面的）地块二，地块一与地块二之间设有跨越启阳街的管廊（蒸气、氮气管道），本项目所在位置位于地块一。</w:t>
      </w:r>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地块一东临望喜路，南临启阳街，西临望贤路，北临宁远大道。</w:t>
      </w:r>
      <w:r>
        <w:rPr>
          <w:rFonts w:hint="eastAsia" w:ascii="宋体" w:hAnsi="宋体" w:eastAsia="宋体" w:cs="宋体"/>
          <w:kern w:val="0"/>
        </w:rPr>
        <w:t>，</w:t>
      </w:r>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地块一东面：隔望喜路为中南高科在建项目。东面距南昌绕城高速最近处约700m，距铁路线（南昌枢纽西环线）最近处约950m。</w:t>
      </w:r>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地块一南面：地块二，为乾照光电的生产辅助区，</w:t>
      </w:r>
      <w:r>
        <w:rPr>
          <w:rFonts w:hint="eastAsia" w:ascii="宋体" w:hAnsi="宋体" w:eastAsia="宋体" w:cs="宋体"/>
          <w:kern w:val="0"/>
        </w:rPr>
        <w:t>主要设置了锅炉房、污水站、危废仓库、化学品仓库，制氮站</w:t>
      </w:r>
      <w:r>
        <w:rPr>
          <w:rFonts w:hint="eastAsia" w:ascii="宋体" w:hAnsi="宋体" w:eastAsia="宋体" w:cs="宋体"/>
          <w:kern w:val="0"/>
          <w:szCs w:val="28"/>
        </w:rPr>
        <w:t>。</w:t>
      </w:r>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地块一西面：厂区围墙外为望贤路，围墙与望贤路路边最近距离约30m。望贤路西侧为正在建设的“南昌轨道交通产业园”。</w:t>
      </w:r>
    </w:p>
    <w:p>
      <w:pPr>
        <w:keepNext w:val="0"/>
        <w:keepLines w:val="0"/>
        <w:pageBreakBefore w:val="0"/>
        <w:widowControl/>
        <w:kinsoku/>
        <w:wordWrap/>
        <w:overflowPunct/>
        <w:topLinePunct w:val="0"/>
        <w:autoSpaceDE/>
        <w:autoSpaceDN w:val="0"/>
        <w:bidi w:val="0"/>
        <w:adjustRightInd/>
        <w:snapToGrid/>
        <w:spacing w:line="600" w:lineRule="exact"/>
        <w:ind w:firstLine="560" w:firstLineChars="200"/>
        <w:textAlignment w:val="auto"/>
        <w:rPr>
          <w:rFonts w:hint="eastAsia" w:ascii="宋体" w:hAnsi="宋体" w:eastAsia="宋体" w:cs="宋体"/>
          <w:kern w:val="0"/>
          <w:szCs w:val="28"/>
        </w:rPr>
      </w:pPr>
      <w:r>
        <w:rPr>
          <w:rFonts w:hint="eastAsia" w:ascii="宋体" w:hAnsi="宋体" w:eastAsia="宋体" w:cs="宋体"/>
          <w:kern w:val="0"/>
          <w:szCs w:val="28"/>
        </w:rPr>
        <w:t>地块一北面：为宁远大街，宁远大街北侧偏西为正在建设的商住地产项目“梦庐花园”。宁远大街北侧偏东为玲岗湿地公园。</w:t>
      </w:r>
    </w:p>
    <w:p>
      <w:pPr>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表2.2-1 项目周边情况一览表</w:t>
      </w:r>
    </w:p>
    <w:tbl>
      <w:tblPr>
        <w:tblStyle w:val="28"/>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949"/>
        <w:gridCol w:w="3233"/>
        <w:gridCol w:w="1026"/>
        <w:gridCol w:w="3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05"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val="zh-CN"/>
              </w:rPr>
            </w:pPr>
            <w:r>
              <w:rPr>
                <w:rFonts w:hint="eastAsia" w:ascii="宋体" w:hAnsi="宋体" w:eastAsia="宋体" w:cs="宋体"/>
                <w:b/>
                <w:bCs/>
                <w:sz w:val="21"/>
                <w:szCs w:val="21"/>
                <w:lang w:val="zh-CN"/>
              </w:rPr>
              <w:t>序号</w:t>
            </w:r>
          </w:p>
        </w:tc>
        <w:tc>
          <w:tcPr>
            <w:tcW w:w="511"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val="zh-CN"/>
              </w:rPr>
            </w:pPr>
            <w:r>
              <w:rPr>
                <w:rFonts w:hint="eastAsia" w:ascii="宋体" w:hAnsi="宋体" w:eastAsia="宋体" w:cs="宋体"/>
                <w:b/>
                <w:bCs/>
                <w:sz w:val="21"/>
                <w:szCs w:val="21"/>
                <w:lang w:val="zh-CN"/>
              </w:rPr>
              <w:t>方位</w:t>
            </w: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val="zh-CN"/>
              </w:rPr>
            </w:pPr>
            <w:r>
              <w:rPr>
                <w:rFonts w:hint="eastAsia" w:ascii="宋体" w:hAnsi="宋体" w:eastAsia="宋体" w:cs="宋体"/>
                <w:b/>
                <w:bCs/>
                <w:sz w:val="21"/>
                <w:szCs w:val="21"/>
              </w:rPr>
              <w:t>周边设施</w:t>
            </w:r>
            <w:r>
              <w:rPr>
                <w:rFonts w:hint="eastAsia" w:ascii="宋体" w:hAnsi="宋体" w:eastAsia="宋体" w:cs="宋体"/>
                <w:b/>
                <w:bCs/>
                <w:sz w:val="21"/>
                <w:szCs w:val="21"/>
                <w:lang w:val="zh-CN"/>
              </w:rPr>
              <w:t>名称</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val="zh-CN"/>
              </w:rPr>
            </w:pPr>
            <w:r>
              <w:rPr>
                <w:rFonts w:hint="eastAsia" w:ascii="宋体" w:hAnsi="宋体" w:eastAsia="宋体" w:cs="宋体"/>
                <w:b/>
                <w:bCs/>
                <w:sz w:val="21"/>
                <w:szCs w:val="21"/>
                <w:lang w:val="zh-CN"/>
              </w:rPr>
              <w:t>距离（</w:t>
            </w:r>
            <w:r>
              <w:rPr>
                <w:rFonts w:hint="eastAsia" w:ascii="宋体" w:hAnsi="宋体" w:eastAsia="宋体" w:cs="宋体"/>
                <w:b/>
                <w:bCs/>
                <w:sz w:val="21"/>
                <w:szCs w:val="21"/>
              </w:rPr>
              <w:t>m</w:t>
            </w:r>
            <w:r>
              <w:rPr>
                <w:rFonts w:hint="eastAsia" w:ascii="宋体" w:hAnsi="宋体" w:eastAsia="宋体" w:cs="宋体"/>
                <w:b/>
                <w:bCs/>
                <w:sz w:val="21"/>
                <w:szCs w:val="21"/>
                <w:lang w:val="zh-CN"/>
              </w:rPr>
              <w:t>）</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b/>
                <w:bCs/>
                <w:sz w:val="21"/>
                <w:szCs w:val="21"/>
                <w:lang w:val="zh-CN"/>
              </w:rPr>
            </w:pPr>
            <w:r>
              <w:rPr>
                <w:rFonts w:hint="eastAsia" w:ascii="宋体" w:hAnsi="宋体" w:eastAsia="宋体" w:cs="宋体"/>
                <w:b/>
                <w:bCs/>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1</w:t>
            </w:r>
          </w:p>
        </w:tc>
        <w:tc>
          <w:tcPr>
            <w:tcW w:w="511"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东面</w:t>
            </w:r>
          </w:p>
        </w:tc>
        <w:tc>
          <w:tcPr>
            <w:tcW w:w="1740" w:type="pct"/>
            <w:vAlign w:val="bottom"/>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中南高科在建项目用地</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50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中间隔望喜路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p>
        </w:tc>
        <w:tc>
          <w:tcPr>
            <w:tcW w:w="511"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南昌绕城高速</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700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中间隔着园区规划用地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p>
        </w:tc>
        <w:tc>
          <w:tcPr>
            <w:tcW w:w="511"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铁路线</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950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2</w:t>
            </w:r>
          </w:p>
        </w:tc>
        <w:tc>
          <w:tcPr>
            <w:tcW w:w="511"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南面</w:t>
            </w: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地块一</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最近建筑为锅炉房（丁类）、污水处理站、固废收集间（丙类）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p>
        </w:tc>
        <w:tc>
          <w:tcPr>
            <w:tcW w:w="511"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工业用地（现状为空地）</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r>
              <w:rPr>
                <w:rFonts w:hint="eastAsia" w:ascii="宋体" w:hAnsi="宋体" w:eastAsia="宋体" w:cs="宋体"/>
                <w:sz w:val="21"/>
                <w:szCs w:val="22"/>
              </w:rPr>
              <w:t>450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r>
              <w:rPr>
                <w:rFonts w:hint="eastAsia" w:ascii="宋体" w:hAnsi="宋体" w:eastAsia="宋体" w:cs="宋体"/>
                <w:sz w:val="21"/>
                <w:szCs w:val="22"/>
              </w:rPr>
              <w:t>中间隔着</w:t>
            </w:r>
            <w:r>
              <w:rPr>
                <w:rStyle w:val="34"/>
                <w:rFonts w:hint="eastAsia" w:ascii="宋体" w:hAnsi="宋体" w:eastAsia="宋体" w:cs="宋体"/>
              </w:rPr>
              <w:t>明志大</w:t>
            </w:r>
            <w:r>
              <w:rPr>
                <w:rFonts w:hint="eastAsia" w:ascii="宋体" w:hAnsi="宋体" w:eastAsia="宋体" w:cs="宋体"/>
                <w:sz w:val="21"/>
                <w:szCs w:val="22"/>
              </w:rPr>
              <w:t>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405"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3</w:t>
            </w:r>
          </w:p>
        </w:tc>
        <w:tc>
          <w:tcPr>
            <w:tcW w:w="511"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西面</w:t>
            </w:r>
          </w:p>
        </w:tc>
        <w:tc>
          <w:tcPr>
            <w:tcW w:w="1740" w:type="pct"/>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轨道交通产业园</w:t>
            </w:r>
          </w:p>
        </w:tc>
        <w:tc>
          <w:tcPr>
            <w:tcW w:w="552" w:type="pct"/>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r>
              <w:rPr>
                <w:rFonts w:hint="eastAsia" w:ascii="宋体" w:hAnsi="宋体" w:eastAsia="宋体" w:cs="宋体"/>
                <w:sz w:val="21"/>
                <w:szCs w:val="22"/>
              </w:rPr>
              <w:t>70</w:t>
            </w:r>
          </w:p>
        </w:tc>
        <w:tc>
          <w:tcPr>
            <w:tcW w:w="1789" w:type="pct"/>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r>
              <w:rPr>
                <w:rFonts w:hint="eastAsia" w:ascii="宋体" w:hAnsi="宋体" w:eastAsia="宋体" w:cs="宋体"/>
                <w:sz w:val="21"/>
                <w:szCs w:val="22"/>
              </w:rPr>
              <w:t>在建，中间隔望贤路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4</w:t>
            </w:r>
          </w:p>
        </w:tc>
        <w:tc>
          <w:tcPr>
            <w:tcW w:w="511" w:type="pct"/>
            <w:vMerge w:val="restar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北面</w:t>
            </w: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梦庐花园</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130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2"/>
              </w:rPr>
              <w:t>在建安置房小区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05"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bookmarkStart w:id="93" w:name="_Toc6142"/>
            <w:bookmarkStart w:id="94" w:name="_Toc17853"/>
          </w:p>
        </w:tc>
        <w:tc>
          <w:tcPr>
            <w:tcW w:w="511" w:type="pct"/>
            <w:vMerge w:val="continue"/>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p>
        </w:tc>
        <w:tc>
          <w:tcPr>
            <w:tcW w:w="1740"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玲岗湿地公园</w:t>
            </w:r>
          </w:p>
        </w:tc>
        <w:tc>
          <w:tcPr>
            <w:tcW w:w="552"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110</w:t>
            </w:r>
          </w:p>
        </w:tc>
        <w:tc>
          <w:tcPr>
            <w:tcW w:w="1789" w:type="pct"/>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2"/>
              </w:rPr>
            </w:pPr>
          </w:p>
        </w:tc>
      </w:tr>
    </w:tbl>
    <w:p>
      <w:pPr>
        <w:pStyle w:val="16"/>
        <w:adjustRightInd/>
        <w:snapToGrid/>
        <w:spacing w:line="600" w:lineRule="exact"/>
        <w:ind w:firstLine="560"/>
        <w:jc w:val="left"/>
        <w:outlineLvl w:val="2"/>
        <w:rPr>
          <w:rFonts w:hint="eastAsia" w:ascii="宋体" w:hAnsi="宋体" w:eastAsia="宋体" w:cs="宋体"/>
          <w:b/>
          <w:color w:val="auto"/>
          <w:kern w:val="0"/>
          <w:sz w:val="30"/>
          <w:szCs w:val="20"/>
        </w:rPr>
      </w:pPr>
      <w:r>
        <w:rPr>
          <w:rFonts w:hint="eastAsia" w:ascii="宋体" w:hAnsi="宋体" w:eastAsia="宋体" w:cs="宋体"/>
          <w:bCs/>
          <w:color w:val="auto"/>
          <w:kern w:val="0"/>
          <w:sz w:val="28"/>
          <w:szCs w:val="18"/>
        </w:rPr>
        <w:t>2.3.3主要建（构）筑物</w:t>
      </w:r>
    </w:p>
    <w:p>
      <w:pPr>
        <w:spacing w:line="600" w:lineRule="exact"/>
        <w:ind w:firstLine="560" w:firstLineChars="200"/>
        <w:rPr>
          <w:rFonts w:hint="eastAsia" w:ascii="宋体" w:hAnsi="宋体" w:eastAsia="宋体" w:cs="宋体"/>
          <w:szCs w:val="36"/>
        </w:rPr>
      </w:pPr>
      <w:r>
        <w:rPr>
          <w:rFonts w:hint="eastAsia" w:ascii="宋体" w:hAnsi="宋体" w:eastAsia="宋体" w:cs="宋体"/>
          <w:szCs w:val="36"/>
        </w:rPr>
        <w:t>该项目主要的建、构筑物如下表2.3-1：</w:t>
      </w:r>
    </w:p>
    <w:p>
      <w:pPr>
        <w:spacing w:line="600" w:lineRule="exact"/>
        <w:ind w:firstLine="480" w:firstLineChars="200"/>
        <w:jc w:val="center"/>
        <w:rPr>
          <w:rFonts w:hint="eastAsia" w:ascii="宋体" w:hAnsi="宋体" w:eastAsia="宋体" w:cs="宋体"/>
          <w:b/>
          <w:sz w:val="24"/>
        </w:rPr>
      </w:pPr>
      <w:r>
        <w:rPr>
          <w:rFonts w:hint="eastAsia" w:ascii="宋体" w:hAnsi="宋体" w:eastAsia="宋体" w:cs="宋体"/>
          <w:b/>
          <w:sz w:val="24"/>
        </w:rPr>
        <w:t>表2.3-1  该项目主要建、构筑物一览表</w:t>
      </w:r>
    </w:p>
    <w:tbl>
      <w:tblPr>
        <w:tblStyle w:val="28"/>
        <w:tblW w:w="4997"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33"/>
        <w:gridCol w:w="1494"/>
        <w:gridCol w:w="1081"/>
        <w:gridCol w:w="572"/>
        <w:gridCol w:w="602"/>
        <w:gridCol w:w="1193"/>
        <w:gridCol w:w="1033"/>
        <w:gridCol w:w="1224"/>
        <w:gridCol w:w="15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exact"/>
        </w:trPr>
        <w:tc>
          <w:tcPr>
            <w:tcW w:w="287"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编号</w:t>
            </w:r>
          </w:p>
        </w:tc>
        <w:tc>
          <w:tcPr>
            <w:tcW w:w="80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建构筑物名称</w:t>
            </w:r>
          </w:p>
        </w:tc>
        <w:tc>
          <w:tcPr>
            <w:tcW w:w="58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面积（m</w:t>
            </w:r>
            <w:r>
              <w:rPr>
                <w:rFonts w:hint="eastAsia" w:ascii="宋体" w:hAnsi="宋体" w:eastAsia="宋体" w:cs="宋体"/>
                <w:sz w:val="21"/>
                <w:szCs w:val="21"/>
                <w:vertAlign w:val="superscript"/>
              </w:rPr>
              <w:t>2</w:t>
            </w:r>
            <w:r>
              <w:rPr>
                <w:rFonts w:hint="eastAsia" w:ascii="宋体" w:hAnsi="宋体" w:eastAsia="宋体" w:cs="宋体"/>
                <w:sz w:val="21"/>
                <w:szCs w:val="21"/>
              </w:rPr>
              <w:t>）</w:t>
            </w:r>
          </w:p>
        </w:tc>
        <w:tc>
          <w:tcPr>
            <w:tcW w:w="30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层数</w:t>
            </w:r>
          </w:p>
        </w:tc>
        <w:tc>
          <w:tcPr>
            <w:tcW w:w="32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高</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度</w:t>
            </w:r>
          </w:p>
        </w:tc>
        <w:tc>
          <w:tcPr>
            <w:tcW w:w="64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生产类别</w:t>
            </w:r>
          </w:p>
        </w:tc>
        <w:tc>
          <w:tcPr>
            <w:tcW w:w="556"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耐火等级</w:t>
            </w:r>
          </w:p>
        </w:tc>
        <w:tc>
          <w:tcPr>
            <w:tcW w:w="659"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结构形式</w:t>
            </w:r>
          </w:p>
        </w:tc>
        <w:tc>
          <w:tcPr>
            <w:tcW w:w="83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11" w:hRule="exact"/>
        </w:trPr>
        <w:tc>
          <w:tcPr>
            <w:tcW w:w="287"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80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104外延芯片厂房</w:t>
            </w:r>
          </w:p>
        </w:tc>
        <w:tc>
          <w:tcPr>
            <w:tcW w:w="58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39088.22</w:t>
            </w:r>
          </w:p>
        </w:tc>
        <w:tc>
          <w:tcPr>
            <w:tcW w:w="30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32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20</w:t>
            </w:r>
          </w:p>
        </w:tc>
        <w:tc>
          <w:tcPr>
            <w:tcW w:w="64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丙类</w:t>
            </w:r>
          </w:p>
        </w:tc>
        <w:tc>
          <w:tcPr>
            <w:tcW w:w="556"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一级</w:t>
            </w:r>
          </w:p>
        </w:tc>
        <w:tc>
          <w:tcPr>
            <w:tcW w:w="659" w:type="pct"/>
            <w:vAlign w:val="center"/>
          </w:tcPr>
          <w:p>
            <w:pPr>
              <w:spacing w:line="280" w:lineRule="exact"/>
              <w:jc w:val="center"/>
              <w:rPr>
                <w:rFonts w:hint="eastAsia" w:ascii="宋体" w:hAnsi="宋体" w:eastAsia="宋体" w:cs="宋体"/>
              </w:rPr>
            </w:pPr>
            <w:r>
              <w:rPr>
                <w:rFonts w:hint="eastAsia" w:ascii="宋体" w:hAnsi="宋体" w:eastAsia="宋体" w:cs="宋体"/>
                <w:sz w:val="21"/>
                <w:szCs w:val="21"/>
              </w:rPr>
              <w:t>混凝土框架</w:t>
            </w:r>
          </w:p>
        </w:tc>
        <w:tc>
          <w:tcPr>
            <w:tcW w:w="83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评价范围：氨回收设备，位于厂房顶层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9" w:hRule="exact"/>
        </w:trPr>
        <w:tc>
          <w:tcPr>
            <w:tcW w:w="287"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80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113露天设备区二（氨水罐区）</w:t>
            </w:r>
          </w:p>
        </w:tc>
        <w:tc>
          <w:tcPr>
            <w:tcW w:w="58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560.0</w:t>
            </w:r>
          </w:p>
        </w:tc>
        <w:tc>
          <w:tcPr>
            <w:tcW w:w="30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2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64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戊类</w:t>
            </w:r>
          </w:p>
        </w:tc>
        <w:tc>
          <w:tcPr>
            <w:tcW w:w="556"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一级</w:t>
            </w:r>
          </w:p>
        </w:tc>
        <w:tc>
          <w:tcPr>
            <w:tcW w:w="659"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围堰+罐体</w:t>
            </w:r>
          </w:p>
        </w:tc>
        <w:tc>
          <w:tcPr>
            <w:tcW w:w="834"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6个100m</w:t>
            </w:r>
            <w:r>
              <w:rPr>
                <w:rFonts w:hint="eastAsia" w:ascii="宋体" w:hAnsi="宋体" w:eastAsia="宋体" w:cs="宋体"/>
                <w:sz w:val="21"/>
                <w:szCs w:val="21"/>
                <w:vertAlign w:val="superscript"/>
              </w:rPr>
              <w:t>3</w:t>
            </w:r>
            <w:r>
              <w:rPr>
                <w:rFonts w:hint="eastAsia" w:ascii="宋体" w:hAnsi="宋体" w:eastAsia="宋体" w:cs="宋体"/>
                <w:sz w:val="21"/>
                <w:szCs w:val="21"/>
              </w:rPr>
              <w:t>储罐，氨水浓度20-22%</w:t>
            </w:r>
          </w:p>
        </w:tc>
      </w:tr>
    </w:tbl>
    <w:p>
      <w:pPr>
        <w:pageBreakBefore w:val="0"/>
        <w:widowControl w:val="0"/>
        <w:kinsoku/>
        <w:wordWrap/>
        <w:overflowPunct/>
        <w:topLinePunct w:val="0"/>
        <w:bidi w:val="0"/>
        <w:spacing w:line="600" w:lineRule="exact"/>
        <w:ind w:left="0" w:right="0" w:rightChars="0"/>
        <w:textAlignment w:val="auto"/>
        <w:rPr>
          <w:rFonts w:hint="eastAsia" w:ascii="宋体" w:hAnsi="宋体" w:eastAsia="宋体" w:cs="宋体"/>
          <w:sz w:val="30"/>
          <w:szCs w:val="30"/>
        </w:rPr>
      </w:pPr>
      <w:r>
        <w:rPr>
          <w:rFonts w:hint="eastAsia" w:ascii="宋体" w:hAnsi="宋体" w:eastAsia="宋体" w:cs="宋体"/>
          <w:sz w:val="24"/>
        </w:rPr>
        <w:t>备注：氨水依据《危险货物品名表》GB12268-2012划为腐蚀性物质，故划为戊类。</w:t>
      </w:r>
    </w:p>
    <w:p>
      <w:pPr>
        <w:pStyle w:val="4"/>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sz w:val="30"/>
          <w:szCs w:val="30"/>
        </w:rPr>
      </w:pPr>
      <w:bookmarkStart w:id="95" w:name="_Toc12135"/>
      <w:r>
        <w:rPr>
          <w:rFonts w:hint="eastAsia" w:ascii="宋体" w:hAnsi="宋体" w:eastAsia="宋体" w:cs="宋体"/>
          <w:sz w:val="30"/>
          <w:szCs w:val="30"/>
        </w:rPr>
        <w:t>2.3总平面布置</w:t>
      </w:r>
      <w:bookmarkEnd w:id="93"/>
      <w:bookmarkEnd w:id="94"/>
      <w:bookmarkEnd w:id="95"/>
    </w:p>
    <w:p>
      <w:pPr>
        <w:pStyle w:val="16"/>
        <w:pageBreakBefore w:val="0"/>
        <w:widowControl w:val="0"/>
        <w:kinsoku/>
        <w:wordWrap/>
        <w:overflowPunct/>
        <w:topLinePunct w:val="0"/>
        <w:bidi w:val="0"/>
        <w:adjustRightInd/>
        <w:snapToGrid/>
        <w:spacing w:line="600" w:lineRule="exact"/>
        <w:ind w:left="0" w:right="0" w:rightChars="0" w:firstLine="0" w:firstLineChars="0"/>
        <w:textAlignment w:val="auto"/>
        <w:outlineLvl w:val="2"/>
        <w:rPr>
          <w:rFonts w:hint="eastAsia" w:ascii="宋体" w:hAnsi="宋体" w:eastAsia="宋体" w:cs="宋体"/>
          <w:b/>
          <w:color w:val="auto"/>
          <w:kern w:val="0"/>
          <w:sz w:val="30"/>
          <w:szCs w:val="20"/>
        </w:rPr>
      </w:pPr>
      <w:r>
        <w:rPr>
          <w:rFonts w:hint="eastAsia" w:ascii="宋体" w:hAnsi="宋体" w:eastAsia="宋体" w:cs="宋体"/>
          <w:bCs/>
          <w:color w:val="auto"/>
          <w:kern w:val="0"/>
          <w:sz w:val="28"/>
          <w:szCs w:val="18"/>
        </w:rPr>
        <w:t>2.3.1总平面布置</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rPr>
        <w:t>厂区厂房面积约15万平方米，</w:t>
      </w:r>
      <w:r>
        <w:rPr>
          <w:rFonts w:hint="eastAsia" w:ascii="宋体" w:hAnsi="宋体" w:eastAsia="宋体" w:cs="宋体"/>
          <w:szCs w:val="28"/>
        </w:rPr>
        <w:t>平面似梯形布置，为确保安全生产及方便生产管理的需要，该企业采用分区布置，本评价报告涉及的104外延芯片厂房位于地块一的厂区中部，呈“7”形布置，工艺产氨废气回收装置位于厂房屋顶的钢棚区内（棚内设置电控系统、冰水机组），钢棚旁设有独立配电间，氨水罐区位于104外延芯片厂房南侧，氨废气经吸收系统转为氨水后通过管道输送至氨水罐区。</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地块一厂区由北至南分别为办公生活区、生产区、动力区、辅助生产及仓储区。办公生活区主要设置综合楼一座、宿舍楼五栋（已建成2栋）、测试厂房一座；生产区主要为104芯片外延厂房、厂房一（制氨站，未建）；动力区主要为动力中心以、110kV变电所（未建）；最南侧为辅助生产及仓储区。辅助生产及仓储区主要为露天设备区一（制氢站）、露天设备区二（氨水罐区）以及仓库一～五。辅助生产及仓库区与其他区域之间设有围栏。</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各建筑物四周均设有环形消防通道，主要道路宽9-10m，次要道路宽6-8m，满足物流以及消防要求。厂区设有一个人流出入口以及两个物流出入口，其中人流出入口位于地块一东北侧与市政道路相接；物流出入口位于地块一东南侧、地块二东北侧，均与市政道路相接。具体见总平面布置图。</w:t>
      </w:r>
    </w:p>
    <w:p>
      <w:pPr>
        <w:pStyle w:val="16"/>
        <w:pageBreakBefore w:val="0"/>
        <w:widowControl w:val="0"/>
        <w:kinsoku/>
        <w:wordWrap/>
        <w:overflowPunct/>
        <w:topLinePunct w:val="0"/>
        <w:bidi w:val="0"/>
        <w:adjustRightInd/>
        <w:snapToGrid/>
        <w:spacing w:line="600" w:lineRule="exact"/>
        <w:ind w:left="0" w:right="0" w:rightChars="0" w:firstLine="560"/>
        <w:textAlignment w:val="auto"/>
        <w:outlineLvl w:val="2"/>
        <w:rPr>
          <w:rFonts w:hint="eastAsia" w:ascii="宋体" w:hAnsi="宋体" w:eastAsia="宋体" w:cs="宋体"/>
          <w:bCs/>
          <w:color w:val="auto"/>
          <w:kern w:val="0"/>
          <w:sz w:val="30"/>
          <w:szCs w:val="20"/>
        </w:rPr>
      </w:pPr>
      <w:bookmarkStart w:id="96" w:name="_Toc278143054"/>
      <w:r>
        <w:rPr>
          <w:rFonts w:hint="eastAsia" w:ascii="宋体" w:hAnsi="宋体" w:eastAsia="宋体" w:cs="宋体"/>
          <w:bCs/>
          <w:color w:val="auto"/>
          <w:kern w:val="0"/>
          <w:sz w:val="28"/>
          <w:szCs w:val="18"/>
        </w:rPr>
        <w:t>2.3.2 竖向</w:t>
      </w:r>
      <w:bookmarkEnd w:id="96"/>
      <w:r>
        <w:rPr>
          <w:rFonts w:hint="eastAsia" w:ascii="宋体" w:hAnsi="宋体" w:eastAsia="宋体" w:cs="宋体"/>
          <w:bCs/>
          <w:color w:val="auto"/>
          <w:kern w:val="0"/>
          <w:sz w:val="28"/>
          <w:szCs w:val="18"/>
        </w:rPr>
        <w:t>布置</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该公司厂区场地较为平坦，竖向采用平坡式连贯单坡竖向布置。</w:t>
      </w:r>
    </w:p>
    <w:p>
      <w:pPr>
        <w:pStyle w:val="16"/>
        <w:pageBreakBefore w:val="0"/>
        <w:widowControl w:val="0"/>
        <w:kinsoku/>
        <w:wordWrap/>
        <w:overflowPunct/>
        <w:topLinePunct w:val="0"/>
        <w:bidi w:val="0"/>
        <w:adjustRightInd/>
        <w:snapToGrid/>
        <w:spacing w:line="600" w:lineRule="exact"/>
        <w:ind w:left="0" w:right="0" w:rightChars="0" w:firstLine="560"/>
        <w:textAlignment w:val="auto"/>
        <w:outlineLvl w:val="2"/>
        <w:rPr>
          <w:rFonts w:hint="eastAsia" w:ascii="宋体" w:hAnsi="宋体" w:eastAsia="宋体" w:cs="宋体"/>
          <w:bCs/>
          <w:color w:val="auto"/>
          <w:kern w:val="0"/>
          <w:sz w:val="30"/>
          <w:szCs w:val="20"/>
        </w:rPr>
      </w:pPr>
      <w:bookmarkStart w:id="97" w:name="_Toc278143057"/>
      <w:r>
        <w:rPr>
          <w:rFonts w:hint="eastAsia" w:ascii="宋体" w:hAnsi="宋体" w:eastAsia="宋体" w:cs="宋体"/>
          <w:bCs/>
          <w:color w:val="auto"/>
          <w:kern w:val="0"/>
          <w:sz w:val="28"/>
          <w:szCs w:val="18"/>
        </w:rPr>
        <w:t>2.3.3 防卫（护）设施</w:t>
      </w:r>
      <w:bookmarkEnd w:id="97"/>
    </w:p>
    <w:p>
      <w:pPr>
        <w:pageBreakBefore w:val="0"/>
        <w:widowControl w:val="0"/>
        <w:numPr>
          <w:ilvl w:val="0"/>
          <w:numId w:val="1"/>
        </w:numPr>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围墙：厂区四周2.2m高围墙与外界分隔开，危化品储存区与主厂房区用栅栏隔开。</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2、门卫：厂区入口处设有门卫。</w:t>
      </w:r>
    </w:p>
    <w:p>
      <w:pPr>
        <w:pStyle w:val="4"/>
        <w:pageBreakBefore w:val="0"/>
        <w:widowControl w:val="0"/>
        <w:kinsoku/>
        <w:wordWrap/>
        <w:overflowPunct/>
        <w:topLinePunct w:val="0"/>
        <w:bidi w:val="0"/>
        <w:spacing w:line="600" w:lineRule="exact"/>
        <w:ind w:left="0" w:right="0" w:rightChars="0"/>
        <w:jc w:val="left"/>
        <w:textAlignment w:val="auto"/>
        <w:rPr>
          <w:rFonts w:hint="eastAsia" w:ascii="宋体" w:hAnsi="宋体" w:eastAsia="宋体" w:cs="宋体"/>
          <w:sz w:val="30"/>
          <w:szCs w:val="30"/>
        </w:rPr>
      </w:pPr>
      <w:bookmarkStart w:id="98" w:name="_Toc22121"/>
      <w:bookmarkStart w:id="99" w:name="_Toc525109140"/>
      <w:bookmarkStart w:id="100" w:name="_Toc2438"/>
      <w:bookmarkStart w:id="101" w:name="_Toc2870"/>
      <w:r>
        <w:rPr>
          <w:rFonts w:hint="eastAsia" w:ascii="宋体" w:hAnsi="宋体" w:eastAsia="宋体" w:cs="宋体"/>
          <w:sz w:val="30"/>
          <w:szCs w:val="30"/>
        </w:rPr>
        <w:t>2.4工艺流程及主要设备</w:t>
      </w:r>
      <w:bookmarkEnd w:id="98"/>
      <w:bookmarkEnd w:id="99"/>
      <w:bookmarkEnd w:id="100"/>
      <w:bookmarkEnd w:id="101"/>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bookmarkStart w:id="102" w:name="_Toc11265_WPSOffice_Level3"/>
      <w:bookmarkEnd w:id="102"/>
      <w:bookmarkStart w:id="103" w:name="_Toc204429125"/>
      <w:r>
        <w:rPr>
          <w:rFonts w:hint="eastAsia" w:ascii="宋体" w:hAnsi="宋体" w:eastAsia="宋体" w:cs="宋体"/>
          <w:b w:val="0"/>
          <w:szCs w:val="28"/>
        </w:rPr>
        <w:t>2.4.1工艺流程</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cs="宋体"/>
          <w:szCs w:val="28"/>
          <w:lang w:eastAsia="zh-CN"/>
        </w:rPr>
        <w:t>略（涉密</w:t>
      </w:r>
      <w:bookmarkStart w:id="635" w:name="_GoBack"/>
      <w:bookmarkEnd w:id="635"/>
      <w:r>
        <w:rPr>
          <w:rFonts w:hint="eastAsia" w:ascii="宋体" w:hAnsi="宋体" w:cs="宋体"/>
          <w:szCs w:val="28"/>
          <w:lang w:eastAsia="zh-CN"/>
        </w:rPr>
        <w:t>）</w:t>
      </w:r>
      <w:r>
        <w:rPr>
          <w:rFonts w:hint="eastAsia" w:ascii="宋体" w:hAnsi="宋体" w:eastAsia="宋体" w:cs="宋体"/>
          <w:szCs w:val="28"/>
        </w:rPr>
        <w:t>。</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r>
        <w:rPr>
          <w:rFonts w:hint="eastAsia" w:ascii="宋体" w:hAnsi="宋体" w:eastAsia="宋体" w:cs="宋体"/>
          <w:b w:val="0"/>
          <w:szCs w:val="28"/>
        </w:rPr>
        <w:t>2.4.2主要生产设备</w:t>
      </w:r>
      <w:bookmarkEnd w:id="103"/>
    </w:p>
    <w:p>
      <w:pPr>
        <w:pageBreakBefore w:val="0"/>
        <w:widowControl w:val="0"/>
        <w:tabs>
          <w:tab w:val="left" w:pos="3570"/>
        </w:tabs>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1、主要生产设备</w:t>
      </w:r>
    </w:p>
    <w:p>
      <w:pPr>
        <w:pageBreakBefore w:val="0"/>
        <w:widowControl w:val="0"/>
        <w:tabs>
          <w:tab w:val="left" w:pos="3570"/>
        </w:tabs>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氨回收</w:t>
      </w:r>
      <w:r>
        <w:rPr>
          <w:rFonts w:hint="eastAsia" w:ascii="宋体" w:hAnsi="宋体" w:eastAsia="宋体" w:cs="宋体"/>
          <w:szCs w:val="28"/>
          <w:lang w:val="en-GB"/>
        </w:rPr>
        <w:t>主要装置(设备)和设施名称、型号(规格)、材质、数量详见下表</w:t>
      </w:r>
      <w:r>
        <w:rPr>
          <w:rFonts w:hint="eastAsia" w:ascii="宋体" w:hAnsi="宋体" w:eastAsia="宋体" w:cs="宋体"/>
          <w:szCs w:val="28"/>
        </w:rPr>
        <w:t>2.4-1。</w:t>
      </w:r>
    </w:p>
    <w:p>
      <w:pPr>
        <w:rPr>
          <w:rFonts w:hint="eastAsia" w:ascii="宋体" w:hAnsi="宋体" w:eastAsia="宋体" w:cs="宋体"/>
          <w:sz w:val="24"/>
        </w:rPr>
      </w:pPr>
      <w:r>
        <w:rPr>
          <w:rFonts w:hint="eastAsia" w:ascii="宋体" w:hAnsi="宋体" w:eastAsia="宋体" w:cs="宋体"/>
          <w:sz w:val="24"/>
        </w:rPr>
        <w:br w:type="page"/>
      </w:r>
    </w:p>
    <w:p>
      <w:pPr>
        <w:pageBreakBefore w:val="0"/>
        <w:widowControl w:val="0"/>
        <w:kinsoku/>
        <w:wordWrap/>
        <w:overflowPunct/>
        <w:topLinePunct w:val="0"/>
        <w:bidi w:val="0"/>
        <w:spacing w:line="600" w:lineRule="exact"/>
        <w:ind w:left="0" w:right="0" w:rightChars="0"/>
        <w:jc w:val="center"/>
        <w:textAlignment w:val="auto"/>
        <w:rPr>
          <w:rFonts w:hint="eastAsia" w:ascii="宋体" w:hAnsi="宋体" w:eastAsia="宋体" w:cs="宋体"/>
          <w:sz w:val="24"/>
        </w:rPr>
      </w:pPr>
      <w:r>
        <w:rPr>
          <w:rFonts w:hint="eastAsia" w:ascii="宋体" w:hAnsi="宋体" w:eastAsia="宋体" w:cs="宋体"/>
          <w:sz w:val="24"/>
        </w:rPr>
        <w:t>表2.4-1  主要设备和设施一览表</w:t>
      </w:r>
    </w:p>
    <w:tbl>
      <w:tblPr>
        <w:tblStyle w:val="28"/>
        <w:tblW w:w="9398" w:type="dxa"/>
        <w:tblInd w:w="93" w:type="dxa"/>
        <w:tblLayout w:type="fixed"/>
        <w:tblCellMar>
          <w:top w:w="0" w:type="dxa"/>
          <w:left w:w="108" w:type="dxa"/>
          <w:bottom w:w="0" w:type="dxa"/>
          <w:right w:w="108" w:type="dxa"/>
        </w:tblCellMar>
      </w:tblPr>
      <w:tblGrid>
        <w:gridCol w:w="833"/>
        <w:gridCol w:w="3528"/>
        <w:gridCol w:w="3359"/>
        <w:gridCol w:w="657"/>
        <w:gridCol w:w="1021"/>
      </w:tblGrid>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序号</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设备材料名称</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规格</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单位</w:t>
            </w:r>
          </w:p>
        </w:tc>
        <w:tc>
          <w:tcPr>
            <w:tcW w:w="102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数量</w:t>
            </w:r>
          </w:p>
        </w:tc>
      </w:tr>
      <w:tr>
        <w:tblPrEx>
          <w:tblCellMar>
            <w:top w:w="0" w:type="dxa"/>
            <w:left w:w="108" w:type="dxa"/>
            <w:bottom w:w="0" w:type="dxa"/>
            <w:right w:w="108" w:type="dxa"/>
          </w:tblCellMar>
        </w:tblPrEx>
        <w:trPr>
          <w:trHeight w:val="311" w:hRule="atLeast"/>
        </w:trPr>
        <w:tc>
          <w:tcPr>
            <w:tcW w:w="9398" w:type="dxa"/>
            <w:gridSpan w:val="5"/>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b/>
                <w:bCs/>
                <w:sz w:val="22"/>
                <w:szCs w:val="22"/>
              </w:rPr>
            </w:pPr>
            <w:r>
              <w:rPr>
                <w:rFonts w:hint="eastAsia" w:ascii="宋体" w:hAnsi="宋体" w:eastAsia="宋体" w:cs="宋体"/>
                <w:b/>
                <w:bCs/>
                <w:kern w:val="0"/>
                <w:sz w:val="22"/>
                <w:szCs w:val="22"/>
                <w:lang w:bidi="ar"/>
              </w:rPr>
              <w:t>主设备</w:t>
            </w:r>
          </w:p>
        </w:tc>
      </w:tr>
      <w:tr>
        <w:tblPrEx>
          <w:tblCellMar>
            <w:top w:w="0" w:type="dxa"/>
            <w:left w:w="108" w:type="dxa"/>
            <w:bottom w:w="0" w:type="dxa"/>
            <w:right w:w="108" w:type="dxa"/>
          </w:tblCellMar>
        </w:tblPrEx>
        <w:trPr>
          <w:trHeight w:val="36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sz w:val="22"/>
                <w:szCs w:val="22"/>
              </w:rPr>
            </w:pPr>
            <w:r>
              <w:rPr>
                <w:rFonts w:hint="eastAsia" w:ascii="宋体" w:hAnsi="宋体" w:eastAsia="宋体" w:cs="宋体"/>
                <w:b/>
                <w:bCs/>
                <w:kern w:val="0"/>
                <w:sz w:val="22"/>
                <w:szCs w:val="22"/>
                <w:lang w:bidi="ar"/>
              </w:rPr>
              <w:t>一</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sz w:val="22"/>
                <w:szCs w:val="22"/>
              </w:rPr>
            </w:pPr>
            <w:r>
              <w:rPr>
                <w:rFonts w:hint="eastAsia" w:ascii="宋体" w:hAnsi="宋体" w:eastAsia="宋体" w:cs="宋体"/>
                <w:b/>
                <w:bCs/>
                <w:kern w:val="0"/>
                <w:sz w:val="22"/>
                <w:szCs w:val="22"/>
                <w:lang w:bidi="ar"/>
              </w:rPr>
              <w:t>氨气增压及冷却保护系统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bCs/>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bCs/>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b/>
                <w:bCs/>
                <w:sz w:val="22"/>
                <w:szCs w:val="22"/>
              </w:rPr>
            </w:pP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漩涡防爆风机（含变频器）</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2用1备，功率：18.5KW；最大风压：46Kpa；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9</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风机冷却板换系统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材质：SUS316L；含温度可调阀，DDC控制等</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数显压力控制系统（防爆</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测量范围：-3Kpa-1Kpa；输出信号：4-20Ma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数显压力控制系统防爆）</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测量范围：0-100Kpa；输出信号：4-20Ma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50微米氨气过滤系统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D600*H1000mm</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30微米氨气过滤系统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D600*H1000mm</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7</w:t>
            </w:r>
          </w:p>
        </w:tc>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数显温度控制系统（防爆）</w:t>
            </w:r>
          </w:p>
        </w:tc>
        <w:tc>
          <w:tcPr>
            <w:tcW w:w="33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监控范围：0-100℃；输出信号：4-20Ma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8</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过滤器之间压力控制系统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测量范围：0-100Kpa；输出信号：4-20Ma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9</w:t>
            </w:r>
          </w:p>
        </w:tc>
      </w:tr>
      <w:tr>
        <w:tblPrEx>
          <w:tblCellMar>
            <w:top w:w="0" w:type="dxa"/>
            <w:left w:w="108" w:type="dxa"/>
            <w:bottom w:w="0" w:type="dxa"/>
            <w:right w:w="108" w:type="dxa"/>
          </w:tblCellMar>
        </w:tblPrEx>
        <w:trPr>
          <w:trHeight w:val="379"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二</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一级氨气回收系统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V=2m³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33"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40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三通阀</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DN65；PN1.0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材质：SUS316；温度显示</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7</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氨水浓度计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输出信号：4-20Ma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三</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二级氨气回收系统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V=2m³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40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90"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三通阀</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DN65；PN1.0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材质：SUS316；温度显示</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四</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三级氨气回收系统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V=2m³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90"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6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三通阀</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DN65；PN1.0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材质：SUS316；温度显示；</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五</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四级氨气回收系统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V=2m³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79"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413"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三通阀</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DN65；PN1.0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材质：SUS316；含温度可调阀，DDC控制等</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六</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五级氨气回收系统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V=3m³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79"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45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补水阀</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DN25；PN1.0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材质：SUS316；含温度可调阀，DDC控制等</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七</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六级氨气回收系统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氨气回收系统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含一次成型保温，16支膜</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V=3m³ 材质：FRP，保温10cm外加不锈钢皮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量程：0-20Kpa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型号：MPH440，0.37KW；材质：工程塑料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氨水板式冷却系统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材质：SUS316；含温度可调阀，DDC控制等</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八</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安装材料</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PVC管阀件</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各型号，管材、阀门、阀件等及系统安装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风机至板换管路</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各型号，管材、阀门、阀件等及系统安装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冰水管路</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各型号，管材、阀门、阀件等及系统安装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保温材料</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橡塑棉及其他保温材料等</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九</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低排系统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低排系统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由1个低排水箱及2个低排泵组成</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套</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十</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制冷系统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制冰主机（螺杆型中温乙二醇机组）</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55KW，温度可调</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406"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低温型乙二醇循环泵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流量40m³；扬程40米；耗功11kw/H</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乙二醇缓冲罐(含保温及数显液位等)</w:t>
            </w:r>
          </w:p>
        </w:tc>
        <w:tc>
          <w:tcPr>
            <w:tcW w:w="33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不锈钢材质，聚氨酯保温，V=2m³</w:t>
            </w: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 xml:space="preserve">冷却水系统材料及安装 </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各型号，管材、阀门、阀件等及系统安装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乙二醇冷媒系统材料及安装</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含管道阀门、仪表、防腐保温等，按照标准配置</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冰河冷媒溶液</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涤纶级，浓度99.9%</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式</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7</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电气、电缆及桥架系统安装</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各型号，电缆、桥架、导线等安装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8</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电气控制系统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组合件</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十一</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膜反洗系统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清洗水箱</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PE；1000L</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清洗泵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功率：4.0KW；材质：CDL16-40</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管阀件</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含安装及支架</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式</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进水水质检测仪</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0-100us/cm</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十二</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电控系统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lef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PLC程序控制</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含数字输入输出模块；模拟量输入输出模块；电源模块</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组</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电气、电缆及桥架系统安装</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各型号，电缆、桥架、导线等安装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配电柜</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国标烤漆</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触控电脑</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国产</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低压电器</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其它辅助材料</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式</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3</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7</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其他配件</w:t>
            </w:r>
          </w:p>
        </w:tc>
        <w:tc>
          <w:tcPr>
            <w:tcW w:w="33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式</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十三</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远程控制系统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rPr>
                <w:rFonts w:hint="eastAsia" w:ascii="宋体" w:hAnsi="宋体" w:eastAsia="宋体" w:cs="宋体"/>
                <w:sz w:val="22"/>
                <w:szCs w:val="22"/>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80" w:lineRule="exact"/>
              <w:rPr>
                <w:rFonts w:hint="eastAsia" w:ascii="宋体" w:hAnsi="宋体" w:eastAsia="宋体" w:cs="宋体"/>
                <w:sz w:val="22"/>
                <w:szCs w:val="22"/>
              </w:rPr>
            </w:pP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上位机</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21寸屏，惠普或等同</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9398" w:type="dxa"/>
            <w:gridSpan w:val="5"/>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b/>
                <w:bCs/>
                <w:sz w:val="22"/>
                <w:szCs w:val="22"/>
              </w:rPr>
            </w:pPr>
            <w:r>
              <w:rPr>
                <w:rFonts w:hint="eastAsia" w:ascii="宋体" w:hAnsi="宋体" w:eastAsia="宋体" w:cs="宋体"/>
                <w:b/>
                <w:bCs/>
                <w:kern w:val="0"/>
                <w:sz w:val="22"/>
                <w:szCs w:val="22"/>
                <w:lang w:bidi="ar"/>
              </w:rPr>
              <w:t>三、系统共用部分（氨水储罐、氨水输送、排放及呼吸管道）</w:t>
            </w:r>
          </w:p>
        </w:tc>
      </w:tr>
      <w:tr>
        <w:tblPrEx>
          <w:tblCellMar>
            <w:top w:w="0" w:type="dxa"/>
            <w:left w:w="108" w:type="dxa"/>
            <w:bottom w:w="0" w:type="dxa"/>
            <w:right w:w="108" w:type="dxa"/>
          </w:tblCellMar>
        </w:tblPrEx>
        <w:trPr>
          <w:trHeight w:val="57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序号</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设备材料名称</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规格</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单位</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用量</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一</w:t>
            </w:r>
          </w:p>
        </w:tc>
        <w:tc>
          <w:tcPr>
            <w:tcW w:w="68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kern w:val="0"/>
                <w:sz w:val="22"/>
                <w:szCs w:val="22"/>
                <w:lang w:bidi="ar"/>
              </w:rPr>
            </w:pPr>
            <w:r>
              <w:rPr>
                <w:rFonts w:hint="eastAsia" w:ascii="宋体" w:hAnsi="宋体" w:eastAsia="宋体" w:cs="宋体"/>
                <w:b/>
                <w:bCs/>
                <w:kern w:val="0"/>
                <w:sz w:val="22"/>
                <w:szCs w:val="22"/>
                <w:lang w:bidi="ar"/>
              </w:rPr>
              <w:t>氨水储槽、输送及计量系统</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sz w:val="22"/>
                <w:szCs w:val="22"/>
              </w:rPr>
            </w:pPr>
          </w:p>
        </w:tc>
      </w:tr>
      <w:tr>
        <w:tblPrEx>
          <w:tblCellMar>
            <w:top w:w="0" w:type="dxa"/>
            <w:left w:w="108" w:type="dxa"/>
            <w:bottom w:w="0" w:type="dxa"/>
            <w:right w:w="108" w:type="dxa"/>
          </w:tblCellMar>
        </w:tblPrEx>
        <w:trPr>
          <w:trHeight w:val="356"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氨水储槽（D4000*H8000mm)</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Q235碳钢内衬PRP,100立方</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个</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压差液位计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量程：0-80Kpa</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4</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氨水输送泵</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功率：2.2KW；材质：工程塑料</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2</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5</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涡街流量计</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SUS316；显示瞬时及累积流量</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6</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电控系统</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台</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311"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7</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管道保温</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1</w:t>
            </w:r>
          </w:p>
        </w:tc>
      </w:tr>
      <w:tr>
        <w:tblPrEx>
          <w:tblCellMar>
            <w:top w:w="0" w:type="dxa"/>
            <w:left w:w="108" w:type="dxa"/>
            <w:bottom w:w="0" w:type="dxa"/>
            <w:right w:w="108" w:type="dxa"/>
          </w:tblCellMar>
        </w:tblPrEx>
        <w:trPr>
          <w:trHeight w:val="588" w:hRule="atLeast"/>
        </w:trPr>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8</w:t>
            </w:r>
          </w:p>
        </w:tc>
        <w:tc>
          <w:tcPr>
            <w:tcW w:w="3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PVC管阀件</w:t>
            </w:r>
          </w:p>
        </w:tc>
        <w:tc>
          <w:tcPr>
            <w:tcW w:w="3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各型号，管材、阀门、阀件等及系统安装</w:t>
            </w:r>
          </w:p>
        </w:tc>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eastAsia="宋体" w:cs="宋体"/>
                <w:kern w:val="0"/>
                <w:sz w:val="22"/>
                <w:szCs w:val="22"/>
                <w:lang w:bidi="ar"/>
              </w:rPr>
            </w:pPr>
            <w:r>
              <w:rPr>
                <w:rFonts w:hint="eastAsia" w:ascii="宋体" w:hAnsi="宋体" w:eastAsia="宋体" w:cs="宋体"/>
                <w:kern w:val="0"/>
                <w:sz w:val="22"/>
                <w:szCs w:val="22"/>
                <w:lang w:bidi="ar"/>
              </w:rPr>
              <w:t>项</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sz w:val="22"/>
                <w:szCs w:val="22"/>
              </w:rPr>
            </w:pPr>
            <w:r>
              <w:rPr>
                <w:rFonts w:hint="eastAsia" w:ascii="宋体" w:hAnsi="宋体" w:eastAsia="宋体" w:cs="宋体"/>
                <w:kern w:val="0"/>
                <w:sz w:val="22"/>
                <w:szCs w:val="22"/>
                <w:lang w:bidi="ar"/>
              </w:rPr>
              <w:t>1</w:t>
            </w:r>
          </w:p>
        </w:tc>
      </w:tr>
    </w:tbl>
    <w:p>
      <w:pPr>
        <w:pageBreakBefore w:val="0"/>
        <w:widowControl w:val="0"/>
        <w:tabs>
          <w:tab w:val="left" w:pos="3570"/>
        </w:tabs>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lang w:val="en-GB"/>
        </w:rPr>
        <w:t>2、</w:t>
      </w:r>
      <w:r>
        <w:rPr>
          <w:rFonts w:hint="eastAsia" w:ascii="宋体" w:hAnsi="宋体" w:eastAsia="宋体" w:cs="宋体"/>
          <w:szCs w:val="28"/>
        </w:rPr>
        <w:t>特种设备</w:t>
      </w:r>
    </w:p>
    <w:p>
      <w:pPr>
        <w:pageBreakBefore w:val="0"/>
        <w:widowControl w:val="0"/>
        <w:kinsoku/>
        <w:wordWrap/>
        <w:overflowPunct/>
        <w:topLinePunct w:val="0"/>
        <w:bidi w:val="0"/>
        <w:spacing w:line="600" w:lineRule="exact"/>
        <w:ind w:left="0" w:right="0" w:rightChars="0" w:firstLine="560" w:firstLineChars="200"/>
        <w:jc w:val="left"/>
        <w:textAlignment w:val="auto"/>
        <w:rPr>
          <w:rFonts w:hint="eastAsia" w:ascii="宋体" w:hAnsi="宋体" w:eastAsia="宋体" w:cs="宋体"/>
          <w:sz w:val="24"/>
        </w:rPr>
      </w:pPr>
      <w:r>
        <w:rPr>
          <w:rFonts w:hint="eastAsia" w:ascii="宋体" w:hAnsi="宋体" w:eastAsia="宋体" w:cs="宋体"/>
          <w:bCs/>
          <w:szCs w:val="28"/>
        </w:rPr>
        <w:t>本次评价范围不涉及特种设备。</w:t>
      </w:r>
    </w:p>
    <w:p>
      <w:pPr>
        <w:pStyle w:val="4"/>
        <w:pageBreakBefore w:val="0"/>
        <w:widowControl w:val="0"/>
        <w:kinsoku/>
        <w:wordWrap/>
        <w:overflowPunct/>
        <w:topLinePunct w:val="0"/>
        <w:bidi w:val="0"/>
        <w:spacing w:line="600" w:lineRule="exact"/>
        <w:ind w:left="0" w:right="0" w:rightChars="0"/>
        <w:jc w:val="left"/>
        <w:textAlignment w:val="auto"/>
        <w:rPr>
          <w:rFonts w:hint="eastAsia" w:ascii="宋体" w:hAnsi="宋体" w:eastAsia="宋体" w:cs="宋体"/>
          <w:sz w:val="30"/>
          <w:szCs w:val="30"/>
        </w:rPr>
      </w:pPr>
      <w:bookmarkStart w:id="104" w:name="_Toc525109141"/>
      <w:bookmarkStart w:id="105" w:name="_Toc2537"/>
      <w:bookmarkStart w:id="106" w:name="_Toc21666"/>
      <w:bookmarkStart w:id="107" w:name="_Toc32549"/>
      <w:bookmarkStart w:id="108" w:name="_Toc204429127"/>
      <w:r>
        <w:rPr>
          <w:rFonts w:hint="eastAsia" w:ascii="宋体" w:hAnsi="宋体" w:eastAsia="宋体" w:cs="宋体"/>
          <w:sz w:val="30"/>
          <w:szCs w:val="30"/>
        </w:rPr>
        <w:t>2.5公用工程</w:t>
      </w:r>
      <w:bookmarkEnd w:id="104"/>
      <w:bookmarkEnd w:id="105"/>
      <w:bookmarkEnd w:id="106"/>
      <w:bookmarkEnd w:id="107"/>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r>
        <w:rPr>
          <w:rFonts w:hint="eastAsia" w:ascii="宋体" w:hAnsi="宋体" w:eastAsia="宋体" w:cs="宋体"/>
          <w:b w:val="0"/>
          <w:szCs w:val="28"/>
        </w:rPr>
        <w:t>2.5.1给排水</w:t>
      </w:r>
      <w:bookmarkEnd w:id="108"/>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1、供水水源</w:t>
      </w:r>
    </w:p>
    <w:p>
      <w:pPr>
        <w:pStyle w:val="60"/>
        <w:pageBreakBefore w:val="0"/>
        <w:widowControl w:val="0"/>
        <w:kinsoku/>
        <w:wordWrap/>
        <w:overflowPunct/>
        <w:topLinePunct w:val="0"/>
        <w:bidi w:val="0"/>
        <w:snapToGrid w:val="0"/>
        <w:spacing w:line="600" w:lineRule="exact"/>
        <w:ind w:left="0" w:right="0" w:righ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厂区水源引自新建区长堎工业园现有的市政供水管网，由厂区北侧宁远大街接入。</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2、给水系统</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1） 生活用水</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zCs w:val="28"/>
        </w:rPr>
      </w:pPr>
      <w:r>
        <w:rPr>
          <w:rFonts w:hint="eastAsia" w:ascii="宋体" w:hAnsi="宋体" w:eastAsia="宋体" w:cs="宋体"/>
          <w:spacing w:val="-2"/>
          <w:szCs w:val="28"/>
        </w:rPr>
        <w:t>生活用水量按照 50</w:t>
      </w:r>
      <w:r>
        <w:rPr>
          <w:rFonts w:hint="eastAsia" w:ascii="宋体" w:hAnsi="宋体" w:eastAsia="宋体" w:cs="宋体"/>
          <w:spacing w:val="-1"/>
          <w:szCs w:val="28"/>
        </w:rPr>
        <w:t>L</w:t>
      </w:r>
      <w:r>
        <w:rPr>
          <w:rFonts w:hint="eastAsia" w:ascii="宋体" w:hAnsi="宋体" w:eastAsia="宋体" w:cs="宋体"/>
          <w:spacing w:val="-2"/>
          <w:szCs w:val="28"/>
        </w:rPr>
        <w:t>/人·班计算；该项目劳</w:t>
      </w:r>
      <w:r>
        <w:rPr>
          <w:rFonts w:hint="eastAsia" w:ascii="宋体" w:hAnsi="宋体" w:eastAsia="宋体" w:cs="宋体"/>
          <w:spacing w:val="-1"/>
          <w:szCs w:val="28"/>
        </w:rPr>
        <w:t>动定员1050 人，采用三班</w:t>
      </w:r>
      <w:r>
        <w:rPr>
          <w:rFonts w:hint="eastAsia" w:ascii="宋体" w:hAnsi="宋体" w:eastAsia="宋体" w:cs="宋体"/>
          <w:szCs w:val="28"/>
        </w:rPr>
        <w:t xml:space="preserve"> </w:t>
      </w:r>
      <w:r>
        <w:rPr>
          <w:rFonts w:hint="eastAsia" w:ascii="宋体" w:hAnsi="宋体" w:eastAsia="宋体" w:cs="宋体"/>
          <w:spacing w:val="-4"/>
          <w:szCs w:val="28"/>
        </w:rPr>
        <w:t>的生产制度，则生活用水量约为 1050×0.05m</w:t>
      </w:r>
      <w:r>
        <w:rPr>
          <w:rFonts w:hint="eastAsia" w:ascii="宋体" w:hAnsi="宋体" w:eastAsia="宋体" w:cs="宋体"/>
          <w:spacing w:val="-4"/>
          <w:position w:val="9"/>
          <w:sz w:val="17"/>
          <w:szCs w:val="17"/>
        </w:rPr>
        <w:t>3</w:t>
      </w:r>
      <w:r>
        <w:rPr>
          <w:rFonts w:hint="eastAsia" w:ascii="宋体" w:hAnsi="宋体" w:eastAsia="宋体" w:cs="宋体"/>
          <w:spacing w:val="-4"/>
          <w:szCs w:val="28"/>
        </w:rPr>
        <w:t>/人·班=52.5</w:t>
      </w:r>
      <w:r>
        <w:rPr>
          <w:rFonts w:hint="eastAsia" w:ascii="宋体" w:hAnsi="宋体" w:eastAsia="宋体" w:cs="宋体"/>
          <w:spacing w:val="-2"/>
          <w:szCs w:val="28"/>
        </w:rPr>
        <w:t>m</w:t>
      </w:r>
      <w:r>
        <w:rPr>
          <w:rFonts w:hint="eastAsia" w:ascii="宋体" w:hAnsi="宋体" w:eastAsia="宋体" w:cs="宋体"/>
          <w:spacing w:val="-4"/>
          <w:position w:val="9"/>
          <w:sz w:val="17"/>
          <w:szCs w:val="17"/>
        </w:rPr>
        <w:t>3</w:t>
      </w:r>
      <w:r>
        <w:rPr>
          <w:rFonts w:hint="eastAsia" w:ascii="宋体" w:hAnsi="宋体" w:eastAsia="宋体" w:cs="宋体"/>
          <w:spacing w:val="-4"/>
          <w:szCs w:val="28"/>
        </w:rPr>
        <w:t>/</w:t>
      </w:r>
      <w:r>
        <w:rPr>
          <w:rFonts w:hint="eastAsia" w:ascii="宋体" w:hAnsi="宋体" w:eastAsia="宋体" w:cs="宋体"/>
          <w:szCs w:val="28"/>
        </w:rPr>
        <w:t>d</w:t>
      </w:r>
      <w:r>
        <w:rPr>
          <w:rFonts w:hint="eastAsia" w:ascii="宋体" w:hAnsi="宋体" w:eastAsia="宋体" w:cs="宋体"/>
          <w:spacing w:val="-4"/>
          <w:szCs w:val="28"/>
        </w:rPr>
        <w:t xml:space="preserve"> ，按照全年工作</w:t>
      </w:r>
      <w:r>
        <w:rPr>
          <w:rFonts w:hint="eastAsia" w:ascii="宋体" w:hAnsi="宋体" w:eastAsia="宋体" w:cs="宋体"/>
          <w:szCs w:val="28"/>
        </w:rPr>
        <w:t xml:space="preserve"> </w:t>
      </w:r>
      <w:r>
        <w:rPr>
          <w:rFonts w:hint="eastAsia" w:ascii="宋体" w:hAnsi="宋体" w:eastAsia="宋体" w:cs="宋体"/>
          <w:spacing w:val="-6"/>
          <w:szCs w:val="28"/>
        </w:rPr>
        <w:t>330</w:t>
      </w:r>
      <w:r>
        <w:rPr>
          <w:rFonts w:hint="eastAsia" w:ascii="宋体" w:hAnsi="宋体" w:eastAsia="宋体" w:cs="宋体"/>
          <w:spacing w:val="-3"/>
          <w:szCs w:val="28"/>
        </w:rPr>
        <w:t xml:space="preserve"> 天，则年生活用水量为17325m</w:t>
      </w:r>
      <w:r>
        <w:rPr>
          <w:rFonts w:hint="eastAsia" w:ascii="宋体" w:hAnsi="宋体" w:eastAsia="宋体" w:cs="宋体"/>
          <w:spacing w:val="-3"/>
          <w:position w:val="9"/>
          <w:sz w:val="17"/>
          <w:szCs w:val="17"/>
        </w:rPr>
        <w:t>3</w:t>
      </w:r>
      <w:r>
        <w:rPr>
          <w:rFonts w:hint="eastAsia" w:ascii="宋体" w:hAnsi="宋体" w:eastAsia="宋体" w:cs="宋体"/>
          <w:szCs w:val="28"/>
        </w:rPr>
        <w:t>。</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2） 消防用水</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pacing w:val="-2"/>
          <w:szCs w:val="28"/>
        </w:rPr>
      </w:pPr>
      <w:r>
        <w:rPr>
          <w:rFonts w:hint="eastAsia" w:ascii="宋体" w:hAnsi="宋体" w:eastAsia="宋体" w:cs="宋体"/>
          <w:spacing w:val="-2"/>
          <w:szCs w:val="28"/>
        </w:rPr>
        <w:t>具体见2.6.1消防章节。</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pacing w:val="-2"/>
          <w:szCs w:val="28"/>
        </w:rPr>
      </w:pPr>
      <w:r>
        <w:rPr>
          <w:rFonts w:hint="eastAsia" w:ascii="宋体" w:hAnsi="宋体" w:eastAsia="宋体" w:cs="宋体"/>
          <w:spacing w:val="-2"/>
          <w:szCs w:val="28"/>
        </w:rPr>
        <w:t>3）生产用水</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pacing w:val="-2"/>
          <w:szCs w:val="28"/>
        </w:rPr>
      </w:pPr>
      <w:r>
        <w:rPr>
          <w:rFonts w:hint="eastAsia" w:ascii="宋体" w:hAnsi="宋体" w:eastAsia="宋体" w:cs="宋体"/>
          <w:spacing w:val="-2"/>
          <w:szCs w:val="28"/>
        </w:rPr>
        <w:t>氨回收系统用水来自纯水制备系统，纯水机组设置于104外延芯片厂房1楼的纯水站，通过管道和水泵输送至楼顶的氨回收站。</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pacing w:val="-2"/>
          <w:szCs w:val="28"/>
        </w:rPr>
      </w:pPr>
      <w:r>
        <w:rPr>
          <w:rFonts w:hint="eastAsia" w:ascii="宋体" w:hAnsi="宋体" w:eastAsia="宋体" w:cs="宋体"/>
          <w:spacing w:val="-2"/>
          <w:szCs w:val="28"/>
        </w:rPr>
        <w:t>氨水循环系统：六级吸收系统共设氨水循环水箱6个（4个2m</w:t>
      </w:r>
      <w:r>
        <w:rPr>
          <w:rFonts w:hint="eastAsia" w:ascii="宋体" w:hAnsi="宋体" w:eastAsia="宋体" w:cs="宋体"/>
          <w:spacing w:val="-2"/>
          <w:szCs w:val="28"/>
          <w:vertAlign w:val="superscript"/>
        </w:rPr>
        <w:t>3</w:t>
      </w:r>
      <w:r>
        <w:rPr>
          <w:rFonts w:hint="eastAsia" w:ascii="宋体" w:hAnsi="宋体" w:eastAsia="宋体" w:cs="宋体"/>
          <w:spacing w:val="-2"/>
          <w:szCs w:val="28"/>
        </w:rPr>
        <w:t>，2个3m</w:t>
      </w:r>
      <w:r>
        <w:rPr>
          <w:rFonts w:hint="eastAsia" w:ascii="宋体" w:hAnsi="宋体" w:eastAsia="宋体" w:cs="宋体"/>
          <w:spacing w:val="-2"/>
          <w:szCs w:val="28"/>
          <w:vertAlign w:val="superscript"/>
        </w:rPr>
        <w:t>3</w:t>
      </w:r>
      <w:r>
        <w:rPr>
          <w:rFonts w:hint="eastAsia" w:ascii="宋体" w:hAnsi="宋体" w:eastAsia="宋体" w:cs="宋体"/>
          <w:spacing w:val="-2"/>
          <w:szCs w:val="28"/>
        </w:rPr>
        <w:t>） ，补水来自为纯水系统。</w:t>
      </w:r>
    </w:p>
    <w:p>
      <w:pPr>
        <w:pageBreakBefore w:val="0"/>
        <w:widowControl w:val="0"/>
        <w:kinsoku/>
        <w:wordWrap/>
        <w:overflowPunct/>
        <w:topLinePunct w:val="0"/>
        <w:bidi w:val="0"/>
        <w:adjustRightInd w:val="0"/>
        <w:snapToGrid w:val="0"/>
        <w:spacing w:line="600" w:lineRule="exact"/>
        <w:ind w:left="0" w:right="0" w:rightChars="0" w:firstLine="552" w:firstLineChars="200"/>
        <w:textAlignment w:val="auto"/>
        <w:rPr>
          <w:rFonts w:hint="eastAsia" w:ascii="宋体" w:hAnsi="宋体" w:eastAsia="宋体" w:cs="宋体"/>
          <w:szCs w:val="28"/>
        </w:rPr>
      </w:pPr>
      <w:r>
        <w:rPr>
          <w:rFonts w:hint="eastAsia" w:ascii="宋体" w:hAnsi="宋体" w:eastAsia="宋体" w:cs="宋体"/>
          <w:spacing w:val="-2"/>
          <w:szCs w:val="28"/>
        </w:rPr>
        <w:t>纯水制备系统：氨气吸收用纯水系统制备过程包括自来水经机械过滤、活性碳过滤、RO 保安过滤器过滤、二级 RO 装置、杀菌、脱气、离子交换、超滤送至使用点，循环回水再回至终端纯水箱。</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3、排水系统</w:t>
      </w:r>
    </w:p>
    <w:p>
      <w:pPr>
        <w:pageBreakBefore w:val="0"/>
        <w:widowControl w:val="0"/>
        <w:kinsoku/>
        <w:wordWrap/>
        <w:overflowPunct/>
        <w:topLinePunct w:val="0"/>
        <w:bidi w:val="0"/>
        <w:adjustRightInd w:val="0"/>
        <w:snapToGrid w:val="0"/>
        <w:spacing w:line="600" w:lineRule="exact"/>
        <w:ind w:left="0" w:right="0" w:rightChars="0" w:firstLine="576" w:firstLineChars="200"/>
        <w:textAlignment w:val="auto"/>
        <w:rPr>
          <w:rFonts w:hint="eastAsia" w:ascii="宋体" w:hAnsi="宋体" w:eastAsia="宋体" w:cs="宋体"/>
          <w:szCs w:val="28"/>
        </w:rPr>
      </w:pPr>
      <w:bookmarkStart w:id="109" w:name="_Toc204429128"/>
      <w:r>
        <w:rPr>
          <w:rFonts w:hint="eastAsia" w:ascii="宋体" w:hAnsi="宋体" w:eastAsia="宋体" w:cs="宋体"/>
          <w:spacing w:val="4"/>
          <w:szCs w:val="28"/>
        </w:rPr>
        <w:t>该项目排</w:t>
      </w:r>
      <w:r>
        <w:rPr>
          <w:rFonts w:hint="eastAsia" w:ascii="宋体" w:hAnsi="宋体" w:eastAsia="宋体" w:cs="宋体"/>
          <w:spacing w:val="2"/>
          <w:szCs w:val="28"/>
        </w:rPr>
        <w:t>水采用雨污分流方式，生活污水经化粪池处理后</w:t>
      </w:r>
      <w:r>
        <w:rPr>
          <w:rFonts w:hint="eastAsia" w:ascii="宋体" w:hAnsi="宋体" w:eastAsia="宋体" w:cs="宋体"/>
          <w:spacing w:val="4"/>
          <w:szCs w:val="28"/>
        </w:rPr>
        <w:t>排放至市政</w:t>
      </w:r>
      <w:r>
        <w:rPr>
          <w:rFonts w:hint="eastAsia" w:ascii="宋体" w:hAnsi="宋体" w:eastAsia="宋体" w:cs="宋体"/>
          <w:spacing w:val="2"/>
          <w:szCs w:val="28"/>
        </w:rPr>
        <w:t>污水管道；生产污水经废水站处理后排放至市政污水管道；本次评价的氨回收系统无废水产生</w:t>
      </w:r>
      <w:r>
        <w:rPr>
          <w:rFonts w:hint="eastAsia" w:ascii="宋体" w:hAnsi="宋体" w:eastAsia="宋体" w:cs="宋体"/>
          <w:szCs w:val="28"/>
        </w:rPr>
        <w:t>。</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r>
        <w:rPr>
          <w:rFonts w:hint="eastAsia" w:ascii="宋体" w:hAnsi="宋体" w:eastAsia="宋体" w:cs="宋体"/>
          <w:b w:val="0"/>
          <w:szCs w:val="28"/>
        </w:rPr>
        <w:t>2.5.2供电</w:t>
      </w:r>
      <w:bookmarkEnd w:id="109"/>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rPr>
      </w:pPr>
      <w:r>
        <w:rPr>
          <w:rFonts w:hint="eastAsia" w:ascii="宋体" w:hAnsi="宋体" w:eastAsia="宋体" w:cs="宋体"/>
        </w:rPr>
        <w:t>1、供电电源</w:t>
      </w:r>
    </w:p>
    <w:p>
      <w:pPr>
        <w:pageBreakBefore w:val="0"/>
        <w:widowControl w:val="0"/>
        <w:kinsoku/>
        <w:wordWrap/>
        <w:overflowPunct/>
        <w:topLinePunct w:val="0"/>
        <w:bidi w:val="0"/>
        <w:adjustRightInd w:val="0"/>
        <w:snapToGrid w:val="0"/>
        <w:spacing w:line="600" w:lineRule="exact"/>
        <w:ind w:left="0" w:right="0" w:rightChars="0" w:firstLine="564" w:firstLineChars="200"/>
        <w:textAlignment w:val="auto"/>
        <w:rPr>
          <w:rFonts w:hint="eastAsia" w:ascii="宋体" w:hAnsi="宋体" w:eastAsia="宋体" w:cs="宋体"/>
        </w:rPr>
      </w:pPr>
      <w:r>
        <w:rPr>
          <w:rFonts w:hint="eastAsia" w:ascii="宋体" w:hAnsi="宋体" w:eastAsia="宋体" w:cs="宋体"/>
          <w:spacing w:val="1"/>
          <w:szCs w:val="28"/>
        </w:rPr>
        <w:t>厂区供电电源</w:t>
      </w:r>
      <w:r>
        <w:rPr>
          <w:rFonts w:hint="eastAsia" w:ascii="宋体" w:hAnsi="宋体" w:eastAsia="宋体" w:cs="宋体"/>
          <w:szCs w:val="28"/>
        </w:rPr>
        <w:t>由距离约5km的110kV创业</w:t>
      </w:r>
      <w:r>
        <w:rPr>
          <w:rFonts w:hint="eastAsia" w:ascii="宋体" w:hAnsi="宋体" w:eastAsia="宋体" w:cs="宋体"/>
          <w:spacing w:val="-6"/>
          <w:szCs w:val="28"/>
        </w:rPr>
        <w:t>变电站接入。4</w:t>
      </w:r>
      <w:r>
        <w:rPr>
          <w:rFonts w:hint="eastAsia" w:ascii="宋体" w:hAnsi="宋体" w:eastAsia="宋体" w:cs="宋体"/>
          <w:spacing w:val="-5"/>
          <w:szCs w:val="28"/>
        </w:rPr>
        <w:t>条</w:t>
      </w:r>
      <w:r>
        <w:rPr>
          <w:rFonts w:hint="eastAsia" w:ascii="宋体" w:hAnsi="宋体" w:eastAsia="宋体" w:cs="宋体"/>
          <w:spacing w:val="-3"/>
          <w:szCs w:val="28"/>
        </w:rPr>
        <w:t>专线进线经厂区北侧的10kV环网柜，送至各配电室，再由</w:t>
      </w:r>
      <w:r>
        <w:rPr>
          <w:rFonts w:hint="eastAsia" w:ascii="宋体" w:hAnsi="宋体" w:eastAsia="宋体" w:cs="宋体"/>
          <w:spacing w:val="1"/>
          <w:szCs w:val="28"/>
        </w:rPr>
        <w:t>配电室内设置的高压柜</w:t>
      </w:r>
      <w:r>
        <w:rPr>
          <w:rFonts w:hint="eastAsia" w:ascii="宋体" w:hAnsi="宋体" w:eastAsia="宋体" w:cs="宋体"/>
          <w:szCs w:val="28"/>
        </w:rPr>
        <w:t>及变压器，将电压降至380V后，通过低压出线柜将</w:t>
      </w:r>
      <w:r>
        <w:rPr>
          <w:rFonts w:hint="eastAsia" w:ascii="宋体" w:hAnsi="宋体" w:eastAsia="宋体" w:cs="宋体"/>
          <w:spacing w:val="4"/>
          <w:szCs w:val="28"/>
        </w:rPr>
        <w:t>电源送至车</w:t>
      </w:r>
      <w:r>
        <w:rPr>
          <w:rFonts w:hint="eastAsia" w:ascii="宋体" w:hAnsi="宋体" w:eastAsia="宋体" w:cs="宋体"/>
          <w:spacing w:val="2"/>
          <w:szCs w:val="28"/>
        </w:rPr>
        <w:t>间内各个用电点位；其他辅助建筑，如气站、罐区、库房等单</w:t>
      </w:r>
      <w:r>
        <w:rPr>
          <w:rFonts w:hint="eastAsia" w:ascii="宋体" w:hAnsi="宋体" w:eastAsia="宋体" w:cs="宋体"/>
          <w:spacing w:val="-1"/>
          <w:szCs w:val="28"/>
        </w:rPr>
        <w:t>体，不再专门设置配电室</w:t>
      </w:r>
      <w:r>
        <w:rPr>
          <w:rFonts w:hint="eastAsia" w:ascii="宋体" w:hAnsi="宋体" w:eastAsia="宋体" w:cs="宋体"/>
          <w:szCs w:val="28"/>
        </w:rPr>
        <w:t>，由就近单体配电室内的变压器接入低压电源</w:t>
      </w:r>
      <w:r>
        <w:rPr>
          <w:rFonts w:hint="eastAsia" w:ascii="宋体" w:hAnsi="宋体" w:eastAsia="宋体" w:cs="宋体"/>
          <w:kern w:val="0"/>
        </w:rPr>
        <w:t>。本此评价的氨回收站工程供电引至104外延芯片厂房1楼的104-1低压配电间，供电电压380/220V。</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bCs/>
          <w:szCs w:val="28"/>
        </w:rPr>
      </w:pPr>
      <w:r>
        <w:rPr>
          <w:rFonts w:hint="eastAsia" w:ascii="宋体" w:hAnsi="宋体" w:eastAsia="宋体" w:cs="宋体"/>
          <w:bCs/>
          <w:szCs w:val="28"/>
        </w:rPr>
        <w:t>2、负荷等级及供电电源可靠性</w:t>
      </w:r>
    </w:p>
    <w:p>
      <w:pPr>
        <w:pageBreakBefore w:val="0"/>
        <w:widowControl w:val="0"/>
        <w:kinsoku/>
        <w:wordWrap/>
        <w:overflowPunct/>
        <w:topLinePunct w:val="0"/>
        <w:bidi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bCs/>
          <w:szCs w:val="28"/>
        </w:rPr>
        <w:t>该系统总用电设备工作容量约为300KW。其中气体报警和轴流风机、水箱循环泵、PLC控制柜的运行负荷属二级用电负荷，</w:t>
      </w:r>
      <w:r>
        <w:rPr>
          <w:rFonts w:hint="eastAsia" w:ascii="宋体" w:hAnsi="宋体" w:eastAsia="宋体" w:cs="宋体"/>
          <w:szCs w:val="28"/>
        </w:rPr>
        <w:t>由UPS电源（720KW）提供备用电源，可满足负荷要求。</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bCs/>
          <w:szCs w:val="28"/>
        </w:rPr>
      </w:pPr>
      <w:r>
        <w:rPr>
          <w:rFonts w:hint="eastAsia" w:ascii="宋体" w:hAnsi="宋体" w:eastAsia="宋体" w:cs="宋体"/>
          <w:bCs/>
          <w:szCs w:val="28"/>
        </w:rPr>
        <w:t>3、配电间、低压配电装置及继电保护</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配电设备选用落地型动力配电箱为主，小容量用电设备选用小型挂墙式动力配电箱配电。动力配电箱内主开关选用断路器或隔离开关，支路出线开关选用断路器作短路及过载保护。</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风机、水泵的保护采用热继电器保护装置或根据动力要求采用变频调速。</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变频器不带旁路开关，从驱动器到电机的电缆长度保持为最长15米，从而降低电机的电气噪音。</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有远距离控制的电动设备，在电动机旁设置检修开关或控制按钮，供设备检修时隔离电路用，保证维修人员安全。</w:t>
      </w:r>
    </w:p>
    <w:p>
      <w:pPr>
        <w:pageBreakBefore w:val="0"/>
        <w:widowControl w:val="0"/>
        <w:kinsoku/>
        <w:wordWrap/>
        <w:overflowPunct/>
        <w:topLinePunct w:val="0"/>
        <w:bidi w:val="0"/>
        <w:adjustRightInd w:val="0"/>
        <w:snapToGrid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动力配电箱至电源插座的配电出线开关选用漏电保护型断路器，漏电动作电流Il≤30mA，动作时间小于0.1秒。</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bCs/>
          <w:szCs w:val="28"/>
        </w:rPr>
      </w:pPr>
      <w:bookmarkStart w:id="110" w:name="_Toc218917839"/>
      <w:bookmarkStart w:id="111" w:name="_Toc222028390"/>
      <w:bookmarkStart w:id="112" w:name="_Toc227384890"/>
      <w:bookmarkStart w:id="113" w:name="_Toc227293483"/>
      <w:r>
        <w:rPr>
          <w:rFonts w:hint="eastAsia" w:ascii="宋体" w:hAnsi="宋体" w:eastAsia="宋体" w:cs="宋体"/>
          <w:bCs/>
          <w:szCs w:val="28"/>
        </w:rPr>
        <w:t>4、照明</w:t>
      </w:r>
      <w:bookmarkEnd w:id="110"/>
      <w:bookmarkEnd w:id="111"/>
      <w:bookmarkEnd w:id="112"/>
      <w:bookmarkEnd w:id="113"/>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bCs/>
          <w:szCs w:val="28"/>
        </w:rPr>
      </w:pPr>
      <w:r>
        <w:rPr>
          <w:rFonts w:hint="eastAsia" w:ascii="宋体" w:hAnsi="宋体" w:eastAsia="宋体" w:cs="宋体"/>
          <w:bCs/>
          <w:szCs w:val="28"/>
        </w:rPr>
        <w:t>该装置区场所照明灯具选用高效节能灯具。</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5、防雷、防静电接地</w:t>
      </w:r>
    </w:p>
    <w:p>
      <w:pPr>
        <w:pageBreakBefore w:val="0"/>
        <w:widowControl w:val="0"/>
        <w:kinsoku/>
        <w:wordWrap/>
        <w:overflowPunct/>
        <w:topLinePunct w:val="0"/>
        <w:bidi w:val="0"/>
        <w:spacing w:line="600" w:lineRule="exact"/>
        <w:ind w:left="0" w:right="0" w:rightChars="0" w:firstLine="627"/>
        <w:textAlignment w:val="auto"/>
        <w:rPr>
          <w:rFonts w:hint="eastAsia" w:ascii="宋体" w:hAnsi="宋体" w:eastAsia="宋体" w:cs="宋体"/>
          <w:szCs w:val="28"/>
        </w:rPr>
      </w:pPr>
      <w:r>
        <w:rPr>
          <w:rFonts w:hint="eastAsia" w:ascii="宋体" w:hAnsi="宋体" w:eastAsia="宋体" w:cs="宋体"/>
          <w:spacing w:val="-4"/>
          <w:szCs w:val="28"/>
        </w:rPr>
        <w:t>该项目</w:t>
      </w:r>
      <w:r>
        <w:rPr>
          <w:rFonts w:hint="eastAsia" w:ascii="宋体" w:hAnsi="宋体" w:eastAsia="宋体" w:cs="宋体"/>
          <w:spacing w:val="-2"/>
          <w:szCs w:val="28"/>
        </w:rPr>
        <w:t>104外延芯片厂房的氨回收装置按第二类建筑物设置防直击雷、防雷电感应</w:t>
      </w:r>
      <w:r>
        <w:rPr>
          <w:rFonts w:hint="eastAsia" w:ascii="宋体" w:hAnsi="宋体" w:eastAsia="宋体" w:cs="宋体"/>
          <w:spacing w:val="-4"/>
          <w:szCs w:val="28"/>
        </w:rPr>
        <w:t>措</w:t>
      </w:r>
      <w:r>
        <w:rPr>
          <w:rFonts w:hint="eastAsia" w:ascii="宋体" w:hAnsi="宋体" w:eastAsia="宋体" w:cs="宋体"/>
          <w:spacing w:val="-3"/>
          <w:szCs w:val="28"/>
        </w:rPr>
        <w:t>施</w:t>
      </w:r>
      <w:r>
        <w:rPr>
          <w:rFonts w:hint="eastAsia" w:ascii="宋体" w:hAnsi="宋体" w:eastAsia="宋体" w:cs="宋体"/>
          <w:spacing w:val="-2"/>
          <w:szCs w:val="28"/>
        </w:rPr>
        <w:t>，设2处独立接闪杆（高13m），引下线与厂房接闪网做可靠连接。</w:t>
      </w:r>
      <w:r>
        <w:rPr>
          <w:rFonts w:hint="eastAsia" w:ascii="宋体" w:hAnsi="宋体" w:eastAsia="宋体" w:cs="宋体"/>
          <w:spacing w:val="-1"/>
          <w:szCs w:val="28"/>
        </w:rPr>
        <w:t>装于屋面上的设备，在配</w:t>
      </w:r>
      <w:r>
        <w:rPr>
          <w:rFonts w:hint="eastAsia" w:ascii="宋体" w:hAnsi="宋体" w:eastAsia="宋体" w:cs="宋体"/>
          <w:szCs w:val="28"/>
        </w:rPr>
        <w:t>电系统内按要求设置防雷击电涌保护器，</w:t>
      </w:r>
      <w:r>
        <w:rPr>
          <w:rFonts w:hint="eastAsia" w:ascii="宋体" w:hAnsi="宋体" w:eastAsia="宋体" w:cs="宋体"/>
        </w:rPr>
        <w:t>对于可能产生静电的管路、管架等均设防静电接地设施</w:t>
      </w:r>
      <w:r>
        <w:rPr>
          <w:rFonts w:hint="eastAsia" w:ascii="宋体" w:hAnsi="宋体" w:eastAsia="宋体" w:cs="宋体"/>
          <w:szCs w:val="28"/>
        </w:rPr>
        <w:t>。</w:t>
      </w:r>
    </w:p>
    <w:p>
      <w:pPr>
        <w:pStyle w:val="61"/>
        <w:pageBreakBefore w:val="0"/>
        <w:widowControl w:val="0"/>
        <w:kinsoku/>
        <w:wordWrap/>
        <w:overflowPunct/>
        <w:topLinePunct w:val="0"/>
        <w:bidi w:val="0"/>
        <w:snapToGrid w:val="0"/>
        <w:spacing w:line="600" w:lineRule="exact"/>
        <w:ind w:left="0" w:right="0" w:rightChars="0" w:firstLine="544"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pacing w:val="-4"/>
          <w:sz w:val="28"/>
          <w:szCs w:val="28"/>
        </w:rPr>
        <w:t>氨回收装置和储罐区按要求定期进行防雷检测。最近的防雷检测由</w:t>
      </w:r>
      <w:r>
        <w:rPr>
          <w:rFonts w:hint="eastAsia" w:ascii="宋体" w:hAnsi="宋体" w:eastAsia="宋体" w:cs="宋体"/>
          <w:color w:val="auto"/>
          <w:spacing w:val="-10"/>
          <w:sz w:val="28"/>
          <w:szCs w:val="28"/>
        </w:rPr>
        <w:t>本溪</w:t>
      </w:r>
      <w:r>
        <w:rPr>
          <w:rFonts w:hint="eastAsia" w:ascii="宋体" w:hAnsi="宋体" w:eastAsia="宋体" w:cs="宋体"/>
          <w:color w:val="auto"/>
          <w:spacing w:val="-5"/>
          <w:sz w:val="28"/>
          <w:szCs w:val="28"/>
        </w:rPr>
        <w:t>普天防雷检测有限公</w:t>
      </w:r>
      <w:r>
        <w:rPr>
          <w:rFonts w:hint="eastAsia" w:ascii="宋体" w:hAnsi="宋体" w:eastAsia="宋体" w:cs="宋体"/>
          <w:color w:val="auto"/>
          <w:spacing w:val="-4"/>
          <w:sz w:val="28"/>
          <w:szCs w:val="28"/>
        </w:rPr>
        <w:t>司于2022年6月30日完成检测，检测结果为合格，详见报告附件</w:t>
      </w:r>
      <w:r>
        <w:rPr>
          <w:rFonts w:hint="eastAsia" w:ascii="宋体" w:hAnsi="宋体" w:eastAsia="宋体" w:cs="宋体"/>
          <w:color w:val="auto"/>
          <w:sz w:val="28"/>
          <w:szCs w:val="28"/>
        </w:rPr>
        <w:t>。</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bCs w:val="0"/>
        </w:rPr>
      </w:pPr>
      <w:r>
        <w:rPr>
          <w:rFonts w:hint="eastAsia" w:ascii="宋体" w:hAnsi="宋体" w:eastAsia="宋体" w:cs="宋体"/>
          <w:b w:val="0"/>
          <w:bCs w:val="0"/>
        </w:rPr>
        <w:t>2.5.3制冷</w:t>
      </w:r>
    </w:p>
    <w:p>
      <w:pPr>
        <w:pageBreakBefore w:val="0"/>
        <w:widowControl w:val="0"/>
        <w:kinsoku/>
        <w:wordWrap/>
        <w:overflowPunct/>
        <w:topLinePunct w:val="0"/>
        <w:bidi w:val="0"/>
        <w:adjustRightInd w:val="0"/>
        <w:snapToGrid w:val="0"/>
        <w:spacing w:line="600" w:lineRule="exact"/>
        <w:ind w:left="0" w:right="0" w:rightChars="0" w:firstLine="560"/>
        <w:textAlignment w:val="auto"/>
        <w:rPr>
          <w:rFonts w:hint="eastAsia" w:ascii="宋体" w:hAnsi="宋体" w:eastAsia="宋体" w:cs="宋体"/>
          <w:szCs w:val="28"/>
        </w:rPr>
      </w:pPr>
      <w:r>
        <w:rPr>
          <w:rFonts w:hint="eastAsia" w:ascii="宋体" w:hAnsi="宋体" w:eastAsia="宋体" w:cs="宋体"/>
          <w:szCs w:val="28"/>
        </w:rPr>
        <w:t>1 、冷冻水系统</w:t>
      </w:r>
    </w:p>
    <w:p>
      <w:pPr>
        <w:pageBreakBefore w:val="0"/>
        <w:widowControl w:val="0"/>
        <w:kinsoku/>
        <w:wordWrap/>
        <w:overflowPunct/>
        <w:topLinePunct w:val="0"/>
        <w:bidi w:val="0"/>
        <w:adjustRightInd w:val="0"/>
        <w:snapToGrid w:val="0"/>
        <w:spacing w:line="600" w:lineRule="exact"/>
        <w:ind w:left="0" w:right="0" w:rightChars="0" w:firstLine="560"/>
        <w:textAlignment w:val="auto"/>
        <w:rPr>
          <w:rFonts w:hint="eastAsia" w:ascii="宋体" w:hAnsi="宋体" w:eastAsia="宋体" w:cs="宋体"/>
          <w:szCs w:val="28"/>
        </w:rPr>
      </w:pPr>
      <w:r>
        <w:rPr>
          <w:rFonts w:hint="eastAsia" w:ascii="宋体" w:hAnsi="宋体" w:eastAsia="宋体" w:cs="宋体"/>
          <w:szCs w:val="28"/>
        </w:rPr>
        <w:t>在104外延芯片厂房屋面的氨回收系统旁边设置3台低温冰水机组和1台</w:t>
      </w:r>
      <w:r>
        <w:rPr>
          <w:rFonts w:hint="eastAsia" w:ascii="宋体" w:hAnsi="宋体" w:eastAsia="宋体" w:cs="宋体"/>
          <w:szCs w:val="28"/>
          <w:highlight w:val="none"/>
        </w:rPr>
        <w:t>缓冲水箱2m</w:t>
      </w:r>
      <w:r>
        <w:rPr>
          <w:rFonts w:hint="eastAsia" w:ascii="宋体" w:hAnsi="宋体" w:eastAsia="宋体" w:cs="宋体"/>
          <w:szCs w:val="28"/>
          <w:highlight w:val="none"/>
          <w:vertAlign w:val="superscript"/>
        </w:rPr>
        <w:t>3</w:t>
      </w:r>
      <w:r>
        <w:rPr>
          <w:rFonts w:hint="eastAsia" w:ascii="宋体" w:hAnsi="宋体" w:eastAsia="宋体" w:cs="宋体"/>
          <w:szCs w:val="28"/>
          <w:highlight w:val="none"/>
        </w:rPr>
        <w:t>，</w:t>
      </w:r>
      <w:r>
        <w:rPr>
          <w:rFonts w:hint="eastAsia" w:ascii="宋体" w:hAnsi="宋体" w:eastAsia="宋体" w:cs="宋体"/>
          <w:szCs w:val="28"/>
        </w:rPr>
        <w:t>冷水机组提供的冷冻水供循环水箱（供</w:t>
      </w:r>
      <w:r>
        <w:rPr>
          <w:rFonts w:hint="eastAsia" w:ascii="宋体" w:hAnsi="宋体" w:eastAsia="宋体" w:cs="宋体"/>
          <w:spacing w:val="-2"/>
          <w:szCs w:val="28"/>
        </w:rPr>
        <w:t>/回水温度 -5/0℃</w:t>
      </w:r>
      <w:r>
        <w:rPr>
          <w:rFonts w:hint="eastAsia" w:ascii="宋体" w:hAnsi="宋体" w:eastAsia="宋体" w:cs="宋体"/>
          <w:szCs w:val="28"/>
        </w:rPr>
        <w:t>）和板式换热器（供</w:t>
      </w:r>
      <w:r>
        <w:rPr>
          <w:rFonts w:hint="eastAsia" w:ascii="宋体" w:hAnsi="宋体" w:eastAsia="宋体" w:cs="宋体"/>
          <w:spacing w:val="-2"/>
          <w:szCs w:val="28"/>
        </w:rPr>
        <w:t>/回水温度 7/12℃</w:t>
      </w:r>
      <w:r>
        <w:rPr>
          <w:rFonts w:hint="eastAsia" w:ascii="宋体" w:hAnsi="宋体" w:eastAsia="宋体" w:cs="宋体"/>
          <w:szCs w:val="28"/>
        </w:rPr>
        <w:t>）使用，制冷剂采用R22,冷媒采用冰河冷媒（主要成分：改性有机酸盐溶液）。冷水机组冷却塔设置在104外延芯片厂房屋面。</w:t>
      </w:r>
      <w:r>
        <w:rPr>
          <w:rFonts w:hint="eastAsia" w:ascii="宋体" w:hAnsi="宋体" w:eastAsia="宋体" w:cs="宋体"/>
          <w:spacing w:val="-2"/>
          <w:szCs w:val="28"/>
        </w:rPr>
        <w:t>系统采用冷却塔 +冷冻机+冷却水泵的供水方式。</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bookmarkStart w:id="114" w:name="_Toc354144063"/>
      <w:bookmarkStart w:id="115" w:name="_Toc342424351"/>
      <w:bookmarkStart w:id="116" w:name="_Toc20337"/>
      <w:bookmarkStart w:id="117" w:name="_Toc204429129"/>
      <w:r>
        <w:rPr>
          <w:rFonts w:hint="eastAsia" w:ascii="宋体" w:hAnsi="宋体" w:eastAsia="宋体" w:cs="宋体"/>
          <w:b w:val="0"/>
          <w:szCs w:val="28"/>
        </w:rPr>
        <w:t>2.5.</w:t>
      </w:r>
      <w:bookmarkEnd w:id="114"/>
      <w:bookmarkEnd w:id="115"/>
      <w:bookmarkStart w:id="118" w:name="_Toc393126626"/>
      <w:r>
        <w:rPr>
          <w:rFonts w:hint="eastAsia" w:ascii="宋体" w:hAnsi="宋体" w:eastAsia="宋体" w:cs="宋体"/>
          <w:b w:val="0"/>
          <w:szCs w:val="28"/>
        </w:rPr>
        <w:t>4火灾报警系统及电讯工程等</w:t>
      </w:r>
      <w:bookmarkEnd w:id="116"/>
      <w:bookmarkEnd w:id="118"/>
    </w:p>
    <w:p>
      <w:pPr>
        <w:pageBreakBefore w:val="0"/>
        <w:widowControl w:val="0"/>
        <w:kinsoku/>
        <w:wordWrap/>
        <w:overflowPunct/>
        <w:topLinePunct w:val="0"/>
        <w:bidi w:val="0"/>
        <w:snapToGrid w:val="0"/>
        <w:spacing w:line="600" w:lineRule="exact"/>
        <w:ind w:left="0" w:right="0" w:rightChars="0" w:firstLine="560"/>
        <w:textAlignment w:val="auto"/>
        <w:rPr>
          <w:rFonts w:hint="eastAsia" w:ascii="宋体" w:hAnsi="宋体" w:eastAsia="宋体" w:cs="宋体"/>
          <w:szCs w:val="28"/>
        </w:rPr>
      </w:pPr>
      <w:bookmarkStart w:id="119" w:name="_Toc342424356"/>
      <w:r>
        <w:rPr>
          <w:rFonts w:hint="eastAsia" w:ascii="宋体" w:hAnsi="宋体" w:eastAsia="宋体" w:cs="宋体"/>
          <w:szCs w:val="28"/>
        </w:rPr>
        <w:t>厂区的火警系统采用控制中心报警、总线控制方式，对</w:t>
      </w:r>
      <w:r>
        <w:rPr>
          <w:rFonts w:hint="eastAsia" w:ascii="宋体" w:hAnsi="宋体" w:eastAsia="宋体" w:cs="宋体"/>
        </w:rPr>
        <w:t>104外延芯片厂房</w:t>
      </w:r>
      <w:r>
        <w:rPr>
          <w:rFonts w:hint="eastAsia" w:ascii="宋体" w:hAnsi="宋体" w:eastAsia="宋体" w:cs="宋体"/>
          <w:szCs w:val="28"/>
        </w:rPr>
        <w:t>的火灾信号和消防设备进行监视及控制。各单体的火灾报警及消防联动控制线缆均</w:t>
      </w:r>
      <w:r>
        <w:rPr>
          <w:rFonts w:hint="eastAsia" w:ascii="宋体" w:hAnsi="宋体" w:eastAsia="宋体" w:cs="宋体"/>
          <w:szCs w:val="28"/>
          <w:lang w:eastAsia="zh-CN"/>
        </w:rPr>
        <w:t>引至</w:t>
      </w:r>
      <w:r>
        <w:rPr>
          <w:rFonts w:hint="eastAsia" w:ascii="宋体" w:hAnsi="宋体" w:eastAsia="宋体" w:cs="宋体"/>
          <w:szCs w:val="28"/>
        </w:rPr>
        <w:t>此消防控制中心。</w:t>
      </w:r>
    </w:p>
    <w:p>
      <w:pPr>
        <w:pageBreakBefore w:val="0"/>
        <w:widowControl w:val="0"/>
        <w:kinsoku/>
        <w:wordWrap/>
        <w:overflowPunct/>
        <w:topLinePunct w:val="0"/>
        <w:bidi w:val="0"/>
        <w:snapToGrid w:val="0"/>
        <w:spacing w:line="600" w:lineRule="exact"/>
        <w:ind w:left="0" w:right="0" w:rightChars="0" w:firstLine="560"/>
        <w:textAlignment w:val="auto"/>
        <w:rPr>
          <w:rFonts w:hint="eastAsia" w:ascii="宋体" w:hAnsi="宋体" w:eastAsia="宋体" w:cs="宋体"/>
          <w:szCs w:val="28"/>
        </w:rPr>
      </w:pPr>
      <w:r>
        <w:rPr>
          <w:rFonts w:hint="eastAsia" w:ascii="宋体" w:hAnsi="宋体" w:eastAsia="宋体" w:cs="宋体"/>
          <w:szCs w:val="28"/>
        </w:rPr>
        <w:t>厂区的消防控制中心（兼安防监控中心）设置在105外延芯片厂房一层。消防控制中心内设有火灾报警控制器、消防联动控制台、消防应急广播设备、电气火灾监控器、消防电源监控器、防火门监控器、中央电脑、CRT显示器、打印机、及消防专用电话总机等。</w:t>
      </w:r>
    </w:p>
    <w:p>
      <w:pPr>
        <w:pageBreakBefore w:val="0"/>
        <w:widowControl w:val="0"/>
        <w:kinsoku/>
        <w:wordWrap/>
        <w:overflowPunct/>
        <w:topLinePunct w:val="0"/>
        <w:bidi w:val="0"/>
        <w:snapToGrid w:val="0"/>
        <w:spacing w:line="600" w:lineRule="exact"/>
        <w:ind w:left="0" w:right="0" w:rightChars="0" w:firstLine="560"/>
        <w:textAlignment w:val="auto"/>
        <w:rPr>
          <w:rFonts w:hint="eastAsia" w:ascii="宋体" w:hAnsi="宋体" w:eastAsia="宋体" w:cs="宋体"/>
          <w:szCs w:val="28"/>
        </w:rPr>
      </w:pPr>
      <w:r>
        <w:rPr>
          <w:rFonts w:hint="eastAsia" w:ascii="宋体" w:hAnsi="宋体" w:eastAsia="宋体" w:cs="宋体"/>
          <w:szCs w:val="28"/>
        </w:rPr>
        <w:t>消防控制室内设有直接报警的外线直拨电话。</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r>
        <w:rPr>
          <w:rFonts w:hint="eastAsia" w:ascii="宋体" w:hAnsi="宋体" w:eastAsia="宋体" w:cs="宋体"/>
          <w:b w:val="0"/>
          <w:szCs w:val="28"/>
        </w:rPr>
        <w:t>2.5.5自动控制</w:t>
      </w:r>
      <w:bookmarkEnd w:id="119"/>
      <w:r>
        <w:rPr>
          <w:rFonts w:hint="eastAsia" w:ascii="宋体" w:hAnsi="宋体" w:eastAsia="宋体" w:cs="宋体"/>
          <w:b w:val="0"/>
          <w:szCs w:val="28"/>
        </w:rPr>
        <w:t>及仪表</w:t>
      </w:r>
    </w:p>
    <w:p>
      <w:pPr>
        <w:pStyle w:val="42"/>
        <w:pageBreakBefore w:val="0"/>
        <w:widowControl w:val="0"/>
        <w:kinsoku/>
        <w:wordWrap/>
        <w:overflowPunct/>
        <w:topLinePunct w:val="0"/>
        <w:bidi w:val="0"/>
        <w:spacing w:line="600" w:lineRule="exact"/>
        <w:ind w:left="0" w:right="0" w:rightChars="0" w:firstLine="560"/>
        <w:textAlignment w:val="auto"/>
        <w:rPr>
          <w:rFonts w:hint="eastAsia" w:ascii="宋体" w:hAnsi="宋体" w:eastAsia="宋体" w:cs="宋体"/>
          <w:sz w:val="28"/>
          <w:szCs w:val="28"/>
        </w:rPr>
      </w:pPr>
      <w:r>
        <w:rPr>
          <w:rFonts w:hint="eastAsia" w:ascii="宋体" w:hAnsi="宋体" w:eastAsia="宋体" w:cs="宋体"/>
          <w:sz w:val="28"/>
          <w:szCs w:val="28"/>
        </w:rPr>
        <w:t>1、自控概述</w:t>
      </w:r>
    </w:p>
    <w:p>
      <w:pPr>
        <w:pStyle w:val="63"/>
        <w:pageBreakBefore w:val="0"/>
        <w:widowControl w:val="0"/>
        <w:kinsoku/>
        <w:wordWrap/>
        <w:overflowPunct/>
        <w:topLinePunct w:val="0"/>
        <w:bidi w:val="0"/>
        <w:snapToGrid w:val="0"/>
        <w:spacing w:line="600" w:lineRule="exact"/>
        <w:ind w:left="0" w:right="0" w:rightChars="0" w:firstLine="560" w:firstLineChars="200"/>
        <w:jc w:val="both"/>
        <w:textAlignment w:val="auto"/>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建设项目设立计算机集中监控系统，采用PLC集散控制方案，分区域设置本地I/O现场控制器进行数据采集和控制。由设在104外延芯片厂房楼顶的钢棚内的操作站进行集中监控、管理。以图形方式显示所监控系统的运行情况，实时显示系统动态参数、运行状态和故障情况，且故障报警显示优先。</w:t>
      </w:r>
    </w:p>
    <w:p>
      <w:pPr>
        <w:pStyle w:val="63"/>
        <w:pageBreakBefore w:val="0"/>
        <w:widowControl w:val="0"/>
        <w:kinsoku/>
        <w:wordWrap/>
        <w:overflowPunct/>
        <w:topLinePunct w:val="0"/>
        <w:bidi w:val="0"/>
        <w:snapToGrid w:val="0"/>
        <w:spacing w:line="600" w:lineRule="exact"/>
        <w:ind w:left="0" w:right="0" w:rightChars="0" w:firstLine="560" w:firstLineChars="200"/>
        <w:jc w:val="both"/>
        <w:textAlignment w:val="auto"/>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现场被控设备采用PLC直接数字控制器进行数据采集。监控站能监控所有控制器I/O点的内容及监测所连接的与设备成套的控制盘的监控内容。</w:t>
      </w:r>
    </w:p>
    <w:p>
      <w:pPr>
        <w:pStyle w:val="42"/>
        <w:pageBreakBefore w:val="0"/>
        <w:widowControl w:val="0"/>
        <w:kinsoku/>
        <w:wordWrap/>
        <w:overflowPunct/>
        <w:topLinePunct w:val="0"/>
        <w:bidi w:val="0"/>
        <w:spacing w:line="600" w:lineRule="exact"/>
        <w:ind w:left="0" w:right="0" w:rightChars="0" w:firstLine="560"/>
        <w:textAlignment w:val="auto"/>
        <w:rPr>
          <w:rFonts w:hint="eastAsia" w:ascii="宋体" w:hAnsi="宋体" w:eastAsia="宋体" w:cs="宋体"/>
          <w:sz w:val="28"/>
          <w:szCs w:val="28"/>
        </w:rPr>
      </w:pPr>
      <w:r>
        <w:rPr>
          <w:rFonts w:hint="eastAsia" w:ascii="宋体" w:hAnsi="宋体" w:eastAsia="宋体" w:cs="宋体"/>
          <w:sz w:val="28"/>
          <w:szCs w:val="28"/>
        </w:rPr>
        <w:t>2、仪表检测控制</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氨水储罐装设就地压差液位计、出液管流量计等，液位计信号远传至消防控制室。</w:t>
      </w:r>
    </w:p>
    <w:p>
      <w:pPr>
        <w:pageBreakBefore w:val="0"/>
        <w:widowControl w:val="0"/>
        <w:kinsoku/>
        <w:wordWrap/>
        <w:overflowPunct/>
        <w:topLinePunct w:val="0"/>
        <w:bidi w:val="0"/>
        <w:spacing w:line="600" w:lineRule="exact"/>
        <w:ind w:left="0" w:right="0" w:rightChars="0"/>
        <w:textAlignment w:val="auto"/>
        <w:rPr>
          <w:rFonts w:hint="eastAsia" w:ascii="宋体" w:hAnsi="宋体" w:eastAsia="宋体" w:cs="宋体"/>
          <w:szCs w:val="28"/>
        </w:rPr>
      </w:pPr>
      <w:r>
        <w:rPr>
          <w:rFonts w:hint="eastAsia" w:ascii="宋体" w:hAnsi="宋体" w:eastAsia="宋体" w:cs="宋体"/>
          <w:szCs w:val="28"/>
        </w:rPr>
        <w:t>3、仪表和设备选型</w:t>
      </w:r>
    </w:p>
    <w:p>
      <w:pPr>
        <w:pageBreakBefore w:val="0"/>
        <w:widowControl w:val="0"/>
        <w:kinsoku/>
        <w:wordWrap/>
        <w:overflowPunct/>
        <w:topLinePunct w:val="0"/>
        <w:bidi w:val="0"/>
        <w:spacing w:line="600" w:lineRule="exact"/>
        <w:ind w:left="0" w:right="0" w:rightChars="0"/>
        <w:textAlignment w:val="auto"/>
        <w:rPr>
          <w:rFonts w:hint="eastAsia" w:ascii="宋体" w:hAnsi="宋体" w:eastAsia="宋体" w:cs="宋体"/>
          <w:szCs w:val="28"/>
        </w:rPr>
      </w:pPr>
      <w:r>
        <w:rPr>
          <w:rFonts w:hint="eastAsia" w:ascii="宋体" w:hAnsi="宋体" w:eastAsia="宋体" w:cs="宋体"/>
          <w:szCs w:val="28"/>
        </w:rPr>
        <w:t xml:space="preserve">    1）氨回收系统就地显示的温度计、压力表，均选用国内产品，压力表选用0-1.0MPa和0-1.6MPa的压力表，防爆区域内选用防爆型压力变送器。</w:t>
      </w:r>
    </w:p>
    <w:p>
      <w:pPr>
        <w:pageBreakBefore w:val="0"/>
        <w:widowControl w:val="0"/>
        <w:kinsoku/>
        <w:wordWrap/>
        <w:overflowPunct/>
        <w:topLinePunct w:val="0"/>
        <w:bidi w:val="0"/>
        <w:spacing w:line="600" w:lineRule="exact"/>
        <w:ind w:left="0" w:right="0" w:rightChars="0"/>
        <w:textAlignment w:val="auto"/>
        <w:rPr>
          <w:rFonts w:hint="eastAsia" w:ascii="宋体" w:hAnsi="宋体" w:eastAsia="宋体" w:cs="宋体"/>
          <w:szCs w:val="28"/>
        </w:rPr>
      </w:pPr>
      <w:r>
        <w:rPr>
          <w:rFonts w:hint="eastAsia" w:ascii="宋体" w:hAnsi="宋体" w:eastAsia="宋体" w:cs="宋体"/>
          <w:szCs w:val="28"/>
        </w:rPr>
        <w:t xml:space="preserve">    2）压力及温度变送器，选用带有防雷单元功能的、保五年无故障间断运行的智能型压力变送器。</w:t>
      </w:r>
    </w:p>
    <w:p>
      <w:pPr>
        <w:pStyle w:val="42"/>
        <w:pageBreakBefore w:val="0"/>
        <w:widowControl w:val="0"/>
        <w:kinsoku/>
        <w:wordWrap/>
        <w:overflowPunct/>
        <w:topLinePunct w:val="0"/>
        <w:bidi w:val="0"/>
        <w:spacing w:line="600" w:lineRule="exact"/>
        <w:ind w:left="0" w:right="0" w:rightChars="0" w:firstLine="560"/>
        <w:textAlignment w:val="auto"/>
        <w:rPr>
          <w:rFonts w:hint="eastAsia" w:ascii="宋体" w:hAnsi="宋体" w:eastAsia="宋体" w:cs="宋体"/>
          <w:sz w:val="28"/>
          <w:szCs w:val="28"/>
        </w:rPr>
      </w:pPr>
      <w:r>
        <w:rPr>
          <w:rFonts w:hint="eastAsia" w:ascii="宋体" w:hAnsi="宋体" w:eastAsia="宋体" w:cs="宋体"/>
          <w:sz w:val="28"/>
          <w:szCs w:val="28"/>
        </w:rPr>
        <w:t>3）计算机监控系统、硬件和操作系统件选用国外工业机系列。应用软件则由国内有实力和高信誉度的单位开发调试，安装和投运，便于今后的维修和升级换代。</w:t>
      </w:r>
    </w:p>
    <w:p>
      <w:pPr>
        <w:pStyle w:val="42"/>
        <w:pageBreakBefore w:val="0"/>
        <w:widowControl w:val="0"/>
        <w:kinsoku/>
        <w:wordWrap/>
        <w:overflowPunct/>
        <w:topLinePunct w:val="0"/>
        <w:bidi w:val="0"/>
        <w:spacing w:line="600" w:lineRule="exact"/>
        <w:ind w:left="0" w:right="0" w:rightChars="0" w:firstLine="560"/>
        <w:textAlignment w:val="auto"/>
        <w:rPr>
          <w:rFonts w:hint="eastAsia" w:ascii="宋体" w:hAnsi="宋体" w:eastAsia="宋体" w:cs="宋体"/>
          <w:sz w:val="28"/>
          <w:szCs w:val="28"/>
        </w:rPr>
      </w:pPr>
      <w:r>
        <w:rPr>
          <w:rFonts w:hint="eastAsia" w:ascii="宋体" w:hAnsi="宋体" w:eastAsia="宋体" w:cs="宋体"/>
          <w:sz w:val="28"/>
          <w:szCs w:val="28"/>
        </w:rPr>
        <w:t>4、气体检测报警器</w:t>
      </w:r>
    </w:p>
    <w:p>
      <w:pPr>
        <w:pStyle w:val="42"/>
        <w:pageBreakBefore w:val="0"/>
        <w:widowControl w:val="0"/>
        <w:kinsoku/>
        <w:wordWrap/>
        <w:overflowPunct/>
        <w:topLinePunct w:val="0"/>
        <w:bidi w:val="0"/>
        <w:spacing w:line="600" w:lineRule="exact"/>
        <w:ind w:left="0" w:right="0" w:rightChars="0" w:firstLine="560"/>
        <w:textAlignment w:val="auto"/>
        <w:rPr>
          <w:rFonts w:hint="eastAsia" w:ascii="宋体" w:hAnsi="宋体" w:eastAsia="宋体" w:cs="宋体"/>
          <w:sz w:val="28"/>
          <w:szCs w:val="28"/>
        </w:rPr>
      </w:pPr>
      <w:r>
        <w:rPr>
          <w:rFonts w:hint="eastAsia" w:ascii="宋体" w:hAnsi="宋体" w:eastAsia="宋体" w:cs="宋体"/>
          <w:sz w:val="28"/>
          <w:szCs w:val="28"/>
        </w:rPr>
        <w:t>氨气回收装置的尾气管道增压风机区域和回收区域设有吸入式氨浓度报警器探测器4个，氢气浓度报警器4个，探测器安装于控制机柜间；报警器具备现场声光报警，检测信号同时引到105动力中心的消防控制室。该项目气体检测装置型号规格见下表。</w:t>
      </w:r>
    </w:p>
    <w:p>
      <w:pPr>
        <w:spacing w:line="600" w:lineRule="exact"/>
        <w:jc w:val="center"/>
        <w:rPr>
          <w:rStyle w:val="43"/>
          <w:rFonts w:hint="eastAsia" w:ascii="宋体" w:hAnsi="宋体" w:eastAsia="宋体" w:cs="宋体"/>
          <w:bCs/>
        </w:rPr>
      </w:pPr>
      <w:r>
        <w:rPr>
          <w:rStyle w:val="43"/>
          <w:rFonts w:hint="eastAsia" w:ascii="宋体" w:hAnsi="宋体" w:eastAsia="宋体" w:cs="宋体"/>
          <w:bCs/>
        </w:rPr>
        <w:t>2.5-1  氨浓度报警探测器分布情况一览表</w:t>
      </w:r>
    </w:p>
    <w:tbl>
      <w:tblPr>
        <w:tblStyle w:val="28"/>
        <w:tblW w:w="49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26"/>
        <w:gridCol w:w="1607"/>
        <w:gridCol w:w="1072"/>
        <w:gridCol w:w="956"/>
        <w:gridCol w:w="1054"/>
        <w:gridCol w:w="1388"/>
        <w:gridCol w:w="1388"/>
        <w:gridCol w:w="13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3" w:hRule="atLeast"/>
          <w:jc w:val="center"/>
        </w:trPr>
        <w:tc>
          <w:tcPr>
            <w:tcW w:w="217" w:type="pct"/>
            <w:tcBorders>
              <w:right w:val="single" w:color="auto" w:sz="4" w:space="0"/>
            </w:tcBorders>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序号</w:t>
            </w:r>
          </w:p>
        </w:tc>
        <w:tc>
          <w:tcPr>
            <w:tcW w:w="867" w:type="pct"/>
            <w:tcBorders>
              <w:left w:val="single" w:color="auto" w:sz="4" w:space="0"/>
              <w:right w:val="single" w:color="auto" w:sz="4" w:space="0"/>
            </w:tcBorders>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类别</w:t>
            </w:r>
          </w:p>
        </w:tc>
        <w:tc>
          <w:tcPr>
            <w:tcW w:w="579" w:type="pct"/>
            <w:tcBorders>
              <w:left w:val="single" w:color="auto" w:sz="4" w:space="0"/>
            </w:tcBorders>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型号规格</w:t>
            </w:r>
          </w:p>
        </w:tc>
        <w:tc>
          <w:tcPr>
            <w:tcW w:w="516" w:type="pct"/>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数量</w:t>
            </w:r>
          </w:p>
        </w:tc>
        <w:tc>
          <w:tcPr>
            <w:tcW w:w="56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状态</w:t>
            </w:r>
          </w:p>
        </w:tc>
        <w:tc>
          <w:tcPr>
            <w:tcW w:w="74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报警值</w:t>
            </w:r>
          </w:p>
        </w:tc>
        <w:tc>
          <w:tcPr>
            <w:tcW w:w="74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安装位置</w:t>
            </w:r>
          </w:p>
        </w:tc>
        <w:tc>
          <w:tcPr>
            <w:tcW w:w="750"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 w:hRule="atLeast"/>
          <w:jc w:val="center"/>
        </w:trPr>
        <w:tc>
          <w:tcPr>
            <w:tcW w:w="217" w:type="pct"/>
            <w:tcBorders>
              <w:right w:val="single" w:color="auto" w:sz="4" w:space="0"/>
            </w:tcBorders>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867" w:type="pct"/>
            <w:tcBorders>
              <w:left w:val="single" w:color="auto" w:sz="4" w:space="0"/>
              <w:right w:val="single" w:color="auto" w:sz="4" w:space="0"/>
            </w:tcBorders>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氨气浓度报警器</w:t>
            </w:r>
          </w:p>
        </w:tc>
        <w:tc>
          <w:tcPr>
            <w:tcW w:w="579" w:type="pct"/>
            <w:tcBorders>
              <w:left w:val="single" w:color="auto" w:sz="4" w:space="0"/>
            </w:tcBorders>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MIDAS</w:t>
            </w:r>
          </w:p>
        </w:tc>
        <w:tc>
          <w:tcPr>
            <w:tcW w:w="516" w:type="pct"/>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56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良好</w:t>
            </w:r>
          </w:p>
        </w:tc>
        <w:tc>
          <w:tcPr>
            <w:tcW w:w="749" w:type="pct"/>
            <w:vAlign w:val="center"/>
          </w:tcPr>
          <w:p>
            <w:pPr>
              <w:adjustRightInd w:val="0"/>
              <w:snapToGrid w:val="0"/>
              <w:spacing w:line="280" w:lineRule="exact"/>
              <w:jc w:val="center"/>
              <w:rPr>
                <w:rFonts w:hint="eastAsia" w:ascii="宋体" w:hAnsi="宋体" w:eastAsia="宋体" w:cs="宋体"/>
                <w:bCs/>
                <w:sz w:val="21"/>
                <w:szCs w:val="21"/>
                <w:lang w:val="en-US"/>
              </w:rPr>
            </w:pPr>
            <w:r>
              <w:rPr>
                <w:rStyle w:val="34"/>
                <w:rFonts w:hint="eastAsia" w:ascii="宋体" w:hAnsi="宋体" w:eastAsia="宋体" w:cs="宋体"/>
              </w:rPr>
              <w:t>12.5ppm</w:t>
            </w:r>
          </w:p>
        </w:tc>
        <w:tc>
          <w:tcPr>
            <w:tcW w:w="74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释放源上方2m内</w:t>
            </w:r>
          </w:p>
        </w:tc>
        <w:tc>
          <w:tcPr>
            <w:tcW w:w="750"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吸入式探测器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 w:hRule="atLeast"/>
          <w:jc w:val="center"/>
        </w:trPr>
        <w:tc>
          <w:tcPr>
            <w:tcW w:w="217" w:type="pct"/>
            <w:tcBorders>
              <w:right w:val="single" w:color="auto" w:sz="4" w:space="0"/>
            </w:tcBorders>
            <w:vAlign w:val="center"/>
          </w:tcPr>
          <w:p>
            <w:pPr>
              <w:adjustRightInd w:val="0"/>
              <w:snapToGrid w:val="0"/>
              <w:spacing w:line="280" w:lineRule="exact"/>
              <w:jc w:val="center"/>
              <w:rPr>
                <w:rFonts w:hint="eastAsia" w:ascii="宋体" w:hAnsi="宋体" w:eastAsia="宋体" w:cs="宋体"/>
                <w:bCs/>
                <w:sz w:val="21"/>
                <w:szCs w:val="21"/>
              </w:rPr>
            </w:pPr>
            <w:bookmarkStart w:id="120" w:name="_Toc18726"/>
            <w:bookmarkStart w:id="121" w:name="_Toc473"/>
            <w:bookmarkStart w:id="122" w:name="_Toc525109142"/>
            <w:bookmarkStart w:id="123" w:name="_Toc204429132"/>
            <w:bookmarkStart w:id="124" w:name="_Toc204219857"/>
            <w:r>
              <w:rPr>
                <w:rFonts w:hint="eastAsia" w:ascii="宋体" w:hAnsi="宋体" w:eastAsia="宋体" w:cs="宋体"/>
                <w:bCs/>
                <w:sz w:val="21"/>
                <w:szCs w:val="21"/>
              </w:rPr>
              <w:t>2</w:t>
            </w:r>
          </w:p>
        </w:tc>
        <w:tc>
          <w:tcPr>
            <w:tcW w:w="867" w:type="pct"/>
            <w:tcBorders>
              <w:left w:val="single" w:color="auto" w:sz="4" w:space="0"/>
              <w:right w:val="single" w:color="auto" w:sz="4" w:space="0"/>
            </w:tcBorders>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氢气浓度报警器</w:t>
            </w:r>
          </w:p>
        </w:tc>
        <w:tc>
          <w:tcPr>
            <w:tcW w:w="579" w:type="pct"/>
            <w:tcBorders>
              <w:left w:val="single" w:color="auto" w:sz="4" w:space="0"/>
            </w:tcBorders>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MIDAS</w:t>
            </w:r>
          </w:p>
        </w:tc>
        <w:tc>
          <w:tcPr>
            <w:tcW w:w="516" w:type="pct"/>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56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良好</w:t>
            </w:r>
          </w:p>
        </w:tc>
        <w:tc>
          <w:tcPr>
            <w:tcW w:w="74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125ppm</w:t>
            </w:r>
          </w:p>
        </w:tc>
        <w:tc>
          <w:tcPr>
            <w:tcW w:w="749"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释放源上方2m内</w:t>
            </w:r>
          </w:p>
        </w:tc>
        <w:tc>
          <w:tcPr>
            <w:tcW w:w="750" w:type="pct"/>
            <w:vAlign w:val="center"/>
          </w:tcPr>
          <w:p>
            <w:pPr>
              <w:adjustRightInd w:val="0"/>
              <w:snapToGrid w:val="0"/>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吸入式探测器</w:t>
            </w:r>
          </w:p>
        </w:tc>
      </w:tr>
      <w:bookmarkEnd w:id="117"/>
    </w:tbl>
    <w:p>
      <w:pPr>
        <w:pStyle w:val="4"/>
        <w:pageBreakBefore w:val="0"/>
        <w:widowControl w:val="0"/>
        <w:kinsoku/>
        <w:wordWrap/>
        <w:overflowPunct/>
        <w:topLinePunct w:val="0"/>
        <w:bidi w:val="0"/>
        <w:spacing w:line="600" w:lineRule="exact"/>
        <w:ind w:left="0" w:right="0" w:rightChars="0"/>
        <w:jc w:val="left"/>
        <w:textAlignment w:val="auto"/>
        <w:rPr>
          <w:rFonts w:hint="eastAsia" w:ascii="宋体" w:hAnsi="宋体" w:eastAsia="宋体" w:cs="宋体"/>
          <w:sz w:val="30"/>
          <w:szCs w:val="30"/>
        </w:rPr>
      </w:pPr>
      <w:bookmarkStart w:id="125" w:name="_Toc27539"/>
      <w:r>
        <w:rPr>
          <w:rFonts w:hint="eastAsia" w:ascii="宋体" w:hAnsi="宋体" w:eastAsia="宋体" w:cs="宋体"/>
          <w:sz w:val="30"/>
          <w:szCs w:val="30"/>
        </w:rPr>
        <w:t>2.6消防及安全设施</w:t>
      </w:r>
      <w:bookmarkEnd w:id="120"/>
      <w:bookmarkEnd w:id="121"/>
      <w:bookmarkEnd w:id="122"/>
      <w:bookmarkEnd w:id="125"/>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r>
        <w:rPr>
          <w:rFonts w:hint="eastAsia" w:ascii="宋体" w:hAnsi="宋体" w:eastAsia="宋体" w:cs="宋体"/>
          <w:b w:val="0"/>
          <w:szCs w:val="28"/>
        </w:rPr>
        <w:t>2.6.1消防</w:t>
      </w:r>
      <w:bookmarkEnd w:id="123"/>
      <w:bookmarkEnd w:id="124"/>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1）消防系统</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本工程给水水源为城市自来水，水压≥0.20MPa。该项目从厂区东面望喜 路及北面宁远大街各引入一根 DN400 的给水管，经水表计量后为设于 105建筑(动力中心) 内的生产水池 (V=9400m3 ) 、消防水池 (V=928.8m3 ) 以及中水(回用水)池 (V=3050m3 ) 的紧急补水提供水源，并由设于 105 号建 筑水泵房内的生活供水恒压变频加压泵组、生产供水恒压变频加压泵组以及 消防系统加压泵加压后送至各用水点。其中储存最大一栋建筑 (芯片外延厂 房) 室内消火栓用水量 216m3 ，室外消火栓用水量 432m3 ， 自动喷水灭火系 统用水量 280.8m3。贮存初期火灾用水量的 18m3 屋顶消防水箱设置与 101 建 筑 (测试厂房) 屋顶。</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消防水池供室内外消火栓、自动喷水灭火系统、水喷雾/水幕系统、自动 喷水-泡沫联用系统、灭火器系统使用。供水流量及压力供至本厂区内均满</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足各个单体用水要求。另外厂区变配电室还设置七氟丙烷气体灭火系统、二氧化碳气体灭火系统。</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2）灭火器的设置</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外延芯片厂房屋面氨回收装置间和氨水罐区设置手提式磷酸铵盐干粉灭火器MF/ABC4灭火器各2具，放置在灭火器箱内。</w:t>
      </w:r>
    </w:p>
    <w:p>
      <w:pPr>
        <w:pageBreakBefore w:val="0"/>
        <w:widowControl w:val="0"/>
        <w:numPr>
          <w:ilvl w:val="0"/>
          <w:numId w:val="2"/>
        </w:numPr>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消防验收</w:t>
      </w:r>
    </w:p>
    <w:p>
      <w:pPr>
        <w:pageBreakBefore w:val="0"/>
        <w:widowControl w:val="0"/>
        <w:kinsoku/>
        <w:wordWrap/>
        <w:overflowPunct/>
        <w:topLinePunct w:val="0"/>
        <w:bidi w:val="0"/>
        <w:spacing w:line="600" w:lineRule="exact"/>
        <w:ind w:left="0" w:right="0" w:rightChars="0" w:firstLine="572" w:firstLineChars="200"/>
        <w:textAlignment w:val="auto"/>
        <w:rPr>
          <w:rFonts w:hint="eastAsia" w:ascii="宋体" w:hAnsi="宋体" w:eastAsia="宋体" w:cs="宋体"/>
          <w:szCs w:val="28"/>
        </w:rPr>
      </w:pPr>
      <w:r>
        <w:rPr>
          <w:rFonts w:hint="eastAsia" w:ascii="宋体" w:hAnsi="宋体" w:eastAsia="宋体" w:cs="宋体"/>
          <w:spacing w:val="3"/>
          <w:szCs w:val="28"/>
        </w:rPr>
        <w:t>本</w:t>
      </w:r>
      <w:r>
        <w:rPr>
          <w:rFonts w:hint="eastAsia" w:ascii="宋体" w:hAnsi="宋体" w:eastAsia="宋体" w:cs="宋体"/>
          <w:spacing w:val="2"/>
          <w:szCs w:val="28"/>
        </w:rPr>
        <w:t>厂区104外延芯片厂房已于2020年12月25日分期取得南昌市新建区住房</w:t>
      </w:r>
      <w:r>
        <w:rPr>
          <w:rFonts w:hint="eastAsia" w:ascii="宋体" w:hAnsi="宋体" w:eastAsia="宋体" w:cs="宋体"/>
          <w:spacing w:val="-10"/>
          <w:szCs w:val="28"/>
        </w:rPr>
        <w:t>和城</w:t>
      </w:r>
      <w:r>
        <w:rPr>
          <w:rFonts w:hint="eastAsia" w:ascii="宋体" w:hAnsi="宋体" w:eastAsia="宋体" w:cs="宋体"/>
          <w:spacing w:val="-9"/>
          <w:szCs w:val="28"/>
        </w:rPr>
        <w:t>乡</w:t>
      </w:r>
      <w:r>
        <w:rPr>
          <w:rFonts w:hint="eastAsia" w:ascii="宋体" w:hAnsi="宋体" w:eastAsia="宋体" w:cs="宋体"/>
          <w:spacing w:val="-5"/>
          <w:szCs w:val="28"/>
        </w:rPr>
        <w:t>建设局《特殊建设工程消防验收意见书》 (新建消验字〔2020〕第018</w:t>
      </w:r>
      <w:r>
        <w:rPr>
          <w:rFonts w:hint="eastAsia" w:ascii="宋体" w:hAnsi="宋体" w:eastAsia="宋体" w:cs="宋体"/>
          <w:szCs w:val="28"/>
        </w:rPr>
        <w:t xml:space="preserve"> </w:t>
      </w:r>
      <w:r>
        <w:rPr>
          <w:rFonts w:hint="eastAsia" w:ascii="宋体" w:hAnsi="宋体" w:eastAsia="宋体" w:cs="宋体"/>
          <w:spacing w:val="-1"/>
          <w:szCs w:val="28"/>
        </w:rPr>
        <w:t>号</w:t>
      </w:r>
      <w:r>
        <w:rPr>
          <w:rFonts w:hint="eastAsia" w:ascii="宋体" w:hAnsi="宋体" w:eastAsia="宋体" w:cs="宋体"/>
          <w:szCs w:val="28"/>
        </w:rPr>
        <w:t>。</w:t>
      </w:r>
    </w:p>
    <w:p>
      <w:pPr>
        <w:pStyle w:val="5"/>
        <w:pageBreakBefore w:val="0"/>
        <w:widowControl w:val="0"/>
        <w:kinsoku/>
        <w:wordWrap/>
        <w:overflowPunct/>
        <w:topLinePunct w:val="0"/>
        <w:bidi w:val="0"/>
        <w:spacing w:line="600" w:lineRule="exact"/>
        <w:ind w:left="0" w:right="0" w:rightChars="0"/>
        <w:jc w:val="both"/>
        <w:textAlignment w:val="auto"/>
        <w:rPr>
          <w:rFonts w:hint="eastAsia" w:ascii="宋体" w:hAnsi="宋体" w:eastAsia="宋体" w:cs="宋体"/>
          <w:b w:val="0"/>
          <w:szCs w:val="28"/>
        </w:rPr>
      </w:pPr>
      <w:bookmarkStart w:id="126" w:name="_Toc204429134"/>
      <w:r>
        <w:rPr>
          <w:rFonts w:hint="eastAsia" w:ascii="宋体" w:hAnsi="宋体" w:eastAsia="宋体" w:cs="宋体"/>
          <w:b w:val="0"/>
          <w:szCs w:val="28"/>
        </w:rPr>
        <w:t>2.6.2主要安全设施</w:t>
      </w:r>
      <w:bookmarkEnd w:id="126"/>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1"/>
        </w:rPr>
      </w:pPr>
      <w:r>
        <w:rPr>
          <w:rFonts w:hint="eastAsia" w:ascii="宋体" w:hAnsi="宋体" w:eastAsia="宋体" w:cs="宋体"/>
          <w:szCs w:val="21"/>
        </w:rPr>
        <w:t>氨回收站的电力及照明设备按照采用防爆型电气设备和灯具（如电机防爆等级为ExdⅡCT4,电箱为ExdⅡCT6）,照明线路采用导线或电缆穿镀锌钢管保护明敷设，设备区上方设轴流风机和可燃有毒气体报警。PLC控制柜能实现实时监控和报警；管道设备设置了防静电接地装置；装置区外设置了洗眼器。</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氨水罐区储罐设置压差液位计，信号并远传至消防控制室，罐区外设置了喷淋洗眼器，氨水泄漏应急池，危险物料告知牌。</w:t>
      </w:r>
    </w:p>
    <w:p>
      <w:pPr>
        <w:pStyle w:val="4"/>
        <w:pageBreakBefore w:val="0"/>
        <w:widowControl w:val="0"/>
        <w:kinsoku/>
        <w:wordWrap/>
        <w:overflowPunct/>
        <w:topLinePunct w:val="0"/>
        <w:bidi w:val="0"/>
        <w:spacing w:line="600" w:lineRule="exact"/>
        <w:ind w:left="0" w:right="0" w:rightChars="0"/>
        <w:jc w:val="left"/>
        <w:textAlignment w:val="auto"/>
        <w:rPr>
          <w:rFonts w:hint="eastAsia" w:ascii="宋体" w:hAnsi="宋体" w:eastAsia="宋体" w:cs="宋体"/>
          <w:sz w:val="30"/>
          <w:szCs w:val="30"/>
        </w:rPr>
      </w:pPr>
      <w:bookmarkStart w:id="127" w:name="_Toc525109143"/>
      <w:bookmarkStart w:id="128" w:name="_Toc23391"/>
      <w:bookmarkStart w:id="129" w:name="_Toc3571"/>
      <w:bookmarkStart w:id="130" w:name="_Toc28643"/>
      <w:bookmarkStart w:id="131" w:name="_Toc204429137"/>
      <w:r>
        <w:rPr>
          <w:rFonts w:hint="eastAsia" w:ascii="宋体" w:hAnsi="宋体" w:eastAsia="宋体" w:cs="宋体"/>
          <w:sz w:val="30"/>
          <w:szCs w:val="30"/>
        </w:rPr>
        <w:t>2.7安全管理</w:t>
      </w:r>
      <w:bookmarkEnd w:id="127"/>
      <w:bookmarkEnd w:id="128"/>
      <w:bookmarkEnd w:id="129"/>
      <w:bookmarkEnd w:id="130"/>
      <w:bookmarkEnd w:id="131"/>
    </w:p>
    <w:p>
      <w:pPr>
        <w:pStyle w:val="5"/>
        <w:pageBreakBefore w:val="0"/>
        <w:widowControl w:val="0"/>
        <w:kinsoku/>
        <w:wordWrap/>
        <w:overflowPunct/>
        <w:topLinePunct w:val="0"/>
        <w:bidi w:val="0"/>
        <w:spacing w:line="600" w:lineRule="exact"/>
        <w:ind w:left="0" w:right="0" w:rightChars="0"/>
        <w:jc w:val="left"/>
        <w:textAlignment w:val="auto"/>
        <w:rPr>
          <w:rFonts w:hint="eastAsia" w:ascii="宋体" w:hAnsi="宋体" w:eastAsia="宋体" w:cs="宋体"/>
          <w:b w:val="0"/>
          <w:bCs w:val="0"/>
          <w:kern w:val="0"/>
          <w:szCs w:val="28"/>
        </w:rPr>
      </w:pPr>
      <w:bookmarkStart w:id="132" w:name="_Toc234156950"/>
      <w:bookmarkStart w:id="133" w:name="_Toc258595934"/>
      <w:bookmarkStart w:id="134" w:name="_Toc9308"/>
      <w:bookmarkStart w:id="135" w:name="_Toc29307"/>
      <w:bookmarkStart w:id="136" w:name="_Toc204219859"/>
      <w:bookmarkStart w:id="137" w:name="_Toc525109144"/>
      <w:bookmarkStart w:id="138" w:name="_Toc204429138"/>
      <w:r>
        <w:rPr>
          <w:rFonts w:hint="eastAsia" w:ascii="宋体" w:hAnsi="宋体" w:eastAsia="宋体" w:cs="宋体"/>
          <w:b w:val="0"/>
          <w:bCs w:val="0"/>
          <w:kern w:val="0"/>
          <w:szCs w:val="28"/>
        </w:rPr>
        <w:t>2.7.</w:t>
      </w:r>
      <w:bookmarkEnd w:id="132"/>
      <w:bookmarkEnd w:id="133"/>
      <w:r>
        <w:rPr>
          <w:rFonts w:hint="eastAsia" w:ascii="宋体" w:hAnsi="宋体" w:eastAsia="宋体" w:cs="宋体"/>
          <w:b w:val="0"/>
          <w:bCs w:val="0"/>
          <w:kern w:val="0"/>
          <w:szCs w:val="28"/>
        </w:rPr>
        <w:t>1组织机构</w:t>
      </w:r>
      <w:bookmarkEnd w:id="134"/>
      <w:r>
        <w:rPr>
          <w:rFonts w:hint="eastAsia" w:ascii="宋体" w:hAnsi="宋体" w:eastAsia="宋体" w:cs="宋体"/>
          <w:b w:val="0"/>
          <w:bCs w:val="0"/>
          <w:kern w:val="0"/>
          <w:szCs w:val="28"/>
        </w:rPr>
        <w:t>及劳动定员</w:t>
      </w:r>
    </w:p>
    <w:p>
      <w:pPr>
        <w:pageBreakBefore w:val="0"/>
        <w:widowControl w:val="0"/>
        <w:kinsoku/>
        <w:wordWrap/>
        <w:overflowPunct/>
        <w:topLinePunct w:val="0"/>
        <w:bidi w:val="0"/>
        <w:spacing w:line="600" w:lineRule="exact"/>
        <w:ind w:left="0" w:right="0" w:rightChars="0" w:firstLine="560" w:firstLineChars="200"/>
        <w:textAlignment w:val="auto"/>
        <w:rPr>
          <w:rFonts w:hint="eastAsia" w:ascii="宋体" w:hAnsi="宋体" w:eastAsia="宋体" w:cs="宋体"/>
          <w:szCs w:val="28"/>
        </w:rPr>
      </w:pPr>
      <w:r>
        <w:rPr>
          <w:rFonts w:hint="eastAsia" w:ascii="宋体" w:hAnsi="宋体" w:eastAsia="宋体" w:cs="宋体"/>
          <w:szCs w:val="28"/>
        </w:rPr>
        <w:t>为了认真贯彻落实“安全第一、预防为主、综合治理”的安全生产方针，切实搞好安全生产工作，根据公司生产经营现状，江西乾照光电有限公司成立了安全生产委员会。安全生产委员会主任由公司总经理担任，副总经理担任安全生产委员会副主任，安全生产委员会委员由各相关部门负责人以及公司总经办专职安全生产管理人员担任。</w:t>
      </w:r>
      <w:bookmarkStart w:id="139" w:name="_Toc144888888"/>
      <w:bookmarkStart w:id="140" w:name="_Toc258595935"/>
      <w:bookmarkStart w:id="141" w:name="_Toc234156951"/>
      <w:r>
        <w:rPr>
          <w:rFonts w:hint="eastAsia" w:ascii="宋体" w:hAnsi="宋体" w:eastAsia="宋体" w:cs="宋体"/>
          <w:szCs w:val="28"/>
        </w:rPr>
        <w:t>安委会组织机构图见下图。</w:t>
      </w:r>
    </w:p>
    <w:p>
      <w:pPr>
        <w:jc w:val="center"/>
        <w:rPr>
          <w:rFonts w:hint="eastAsia" w:ascii="宋体" w:hAnsi="宋体" w:eastAsia="宋体" w:cs="宋体"/>
        </w:rPr>
      </w:pPr>
      <w:r>
        <w:rPr>
          <w:rFonts w:hint="eastAsia" w:ascii="宋体" w:hAnsi="宋体" w:eastAsia="宋体" w:cs="宋体"/>
        </w:rPr>
        <w:drawing>
          <wp:inline distT="0" distB="0" distL="114300" distR="114300">
            <wp:extent cx="5753735" cy="3387725"/>
            <wp:effectExtent l="0" t="0" r="1841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5753735" cy="3387725"/>
                    </a:xfrm>
                    <a:prstGeom prst="rect">
                      <a:avLst/>
                    </a:prstGeom>
                    <a:noFill/>
                    <a:ln>
                      <a:noFill/>
                    </a:ln>
                  </pic:spPr>
                </pic:pic>
              </a:graphicData>
            </a:graphic>
          </wp:inline>
        </w:drawing>
      </w:r>
      <w:r>
        <w:rPr>
          <w:rFonts w:hint="eastAsia" w:ascii="宋体" w:hAnsi="宋体" w:eastAsia="宋体" w:cs="宋体"/>
          <w:sz w:val="24"/>
          <w:szCs w:val="22"/>
        </w:rPr>
        <w:t>图2-3</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drawing>
          <wp:inline distT="0" distB="0" distL="114300" distR="114300">
            <wp:extent cx="19050" cy="19050"/>
            <wp:effectExtent l="0" t="0" r="0" b="0"/>
            <wp:docPr id="6" name="图片 97" descr="wp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7" descr="wps14"/>
                    <pic:cNvPicPr>
                      <a:picLocks noChangeAspect="1"/>
                    </pic:cNvPicPr>
                  </pic:nvPicPr>
                  <pic:blipFill>
                    <a:blip r:embed="rId13"/>
                    <a:stretch>
                      <a:fillRect/>
                    </a:stretch>
                  </pic:blipFill>
                  <pic:spPr>
                    <a:xfrm>
                      <a:off x="0" y="0"/>
                      <a:ext cx="19050" cy="19050"/>
                    </a:xfrm>
                    <a:prstGeom prst="rect">
                      <a:avLst/>
                    </a:prstGeom>
                    <a:noFill/>
                    <a:ln>
                      <a:noFill/>
                    </a:ln>
                  </pic:spPr>
                </pic:pic>
              </a:graphicData>
            </a:graphic>
          </wp:inline>
        </w:drawing>
      </w:r>
      <w:r>
        <w:rPr>
          <w:rFonts w:hint="eastAsia" w:ascii="宋体" w:hAnsi="宋体" w:eastAsia="宋体" w:cs="宋体"/>
          <w:szCs w:val="28"/>
        </w:rPr>
        <w:t>2）劳动定员</w:t>
      </w:r>
    </w:p>
    <w:p>
      <w:pPr>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宋体" w:hAnsi="宋体" w:eastAsia="宋体" w:cs="宋体"/>
          <w:szCs w:val="28"/>
        </w:rPr>
      </w:pPr>
      <w:r>
        <w:rPr>
          <w:rFonts w:hint="eastAsia" w:ascii="宋体" w:hAnsi="宋体" w:eastAsia="宋体" w:cs="宋体"/>
          <w:szCs w:val="28"/>
        </w:rPr>
        <w:t>按照国家的法律法规，结合公司的生产大纲，为建立完善的劳动工作制度，工作制度实行12小时/班，3班两运转的工作制，年工作日为330天。全厂员工共计1050人，其中氨回收系统岗位员工5人，实行24h工作制。</w:t>
      </w:r>
    </w:p>
    <w:p>
      <w:pPr>
        <w:pageBreakBefore w:val="0"/>
        <w:widowControl w:val="0"/>
        <w:kinsoku/>
        <w:wordWrap/>
        <w:overflowPunct/>
        <w:topLinePunct w:val="0"/>
        <w:autoSpaceDE/>
        <w:autoSpaceDN/>
        <w:bidi w:val="0"/>
        <w:adjustRightInd/>
        <w:snapToGrid/>
        <w:spacing w:line="600" w:lineRule="exact"/>
        <w:ind w:firstLine="840" w:firstLineChars="300"/>
        <w:textAlignment w:val="auto"/>
        <w:rPr>
          <w:rFonts w:hint="eastAsia" w:ascii="宋体" w:hAnsi="宋体" w:eastAsia="宋体" w:cs="宋体"/>
        </w:rPr>
      </w:pPr>
      <w:r>
        <w:rPr>
          <w:rFonts w:hint="eastAsia" w:ascii="宋体" w:hAnsi="宋体" w:eastAsia="宋体" w:cs="宋体"/>
          <w:szCs w:val="28"/>
        </w:rPr>
        <w:t>该项目组织机构按照公司规范化运作机制，实行总经理领导下负责制。厂长负责执行集团通过的各项决议，组织生产、经营和后勤的管理工作。该项目生产组织机构按照公司组织机构章程，按工作需要设立职能部门，根据精简机构、强化科学管理的原则，配置各级管理人员。</w:t>
      </w:r>
    </w:p>
    <w:p>
      <w:pPr>
        <w:pStyle w:val="5"/>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val="0"/>
          <w:bCs w:val="0"/>
          <w:kern w:val="0"/>
          <w:szCs w:val="28"/>
        </w:rPr>
      </w:pPr>
      <w:bookmarkStart w:id="142" w:name="_Toc27045"/>
      <w:r>
        <w:rPr>
          <w:rFonts w:hint="eastAsia" w:ascii="宋体" w:hAnsi="宋体" w:eastAsia="宋体" w:cs="宋体"/>
          <w:b w:val="0"/>
          <w:bCs w:val="0"/>
          <w:kern w:val="0"/>
          <w:szCs w:val="28"/>
        </w:rPr>
        <w:t>2.7.2安全管理制度</w:t>
      </w:r>
      <w:bookmarkEnd w:id="139"/>
      <w:r>
        <w:rPr>
          <w:rFonts w:hint="eastAsia" w:ascii="宋体" w:hAnsi="宋体" w:eastAsia="宋体" w:cs="宋体"/>
          <w:b w:val="0"/>
          <w:bCs w:val="0"/>
          <w:kern w:val="0"/>
          <w:szCs w:val="28"/>
        </w:rPr>
        <w:t>、操作规程</w:t>
      </w:r>
      <w:bookmarkEnd w:id="140"/>
      <w:bookmarkEnd w:id="141"/>
      <w:r>
        <w:rPr>
          <w:rFonts w:hint="eastAsia" w:ascii="宋体" w:hAnsi="宋体" w:eastAsia="宋体" w:cs="宋体"/>
          <w:b w:val="0"/>
          <w:bCs w:val="0"/>
          <w:kern w:val="0"/>
          <w:szCs w:val="28"/>
        </w:rPr>
        <w:t>及应急预案</w:t>
      </w:r>
      <w:bookmarkEnd w:id="142"/>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该公司制定了各类人员工作职责，明确规定了各级负责人的责任，安全管理制度。</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公司建立完善的安全生产管理制度，如化学品安全管理规定、相关方安全管理规定、消防设施器材维护管理制度、安全值班管理制度、劳动防护用品管理制度、安全生产教育培训管理制度、安全检查与巡查制度、危险作业许可管理制度、突发事件总体应急预案、危险废物管理作业标准书等安全管理制度。制定了氨回收操作规程。具体见报告附件。</w:t>
      </w:r>
    </w:p>
    <w:p>
      <w:pPr>
        <w:pStyle w:val="5"/>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val="0"/>
          <w:bCs w:val="0"/>
          <w:kern w:val="0"/>
          <w:szCs w:val="28"/>
        </w:rPr>
      </w:pPr>
      <w:bookmarkStart w:id="143" w:name="_Toc3715"/>
      <w:bookmarkStart w:id="144" w:name="_Toc144888889"/>
      <w:bookmarkStart w:id="145" w:name="_Toc234156952"/>
      <w:bookmarkStart w:id="146" w:name="_Toc258595936"/>
      <w:r>
        <w:rPr>
          <w:rFonts w:hint="eastAsia" w:ascii="宋体" w:hAnsi="宋体" w:eastAsia="宋体" w:cs="宋体"/>
          <w:b w:val="0"/>
          <w:bCs w:val="0"/>
          <w:kern w:val="0"/>
          <w:szCs w:val="28"/>
        </w:rPr>
        <w:t>2.7.3人员培训</w:t>
      </w:r>
      <w:bookmarkEnd w:id="143"/>
      <w:bookmarkEnd w:id="144"/>
      <w:bookmarkEnd w:id="145"/>
      <w:bookmarkEnd w:id="146"/>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bookmarkStart w:id="147" w:name="_Toc234156953"/>
      <w:bookmarkStart w:id="148" w:name="_Toc258595937"/>
      <w:r>
        <w:rPr>
          <w:rFonts w:hint="eastAsia" w:ascii="宋体" w:hAnsi="宋体" w:eastAsia="宋体" w:cs="宋体"/>
          <w:szCs w:val="28"/>
        </w:rPr>
        <w:t>该公司的主要负责人、安全管理人员及相关特种作业人员均进行了培训取证，此外，公司还配备了注册安全工程师，证件信息见下表2.7-1及报告附件。</w:t>
      </w:r>
    </w:p>
    <w:p>
      <w:pPr>
        <w:rPr>
          <w:rFonts w:hint="eastAsia" w:ascii="宋体" w:hAnsi="宋体" w:eastAsia="宋体" w:cs="宋体"/>
          <w:sz w:val="21"/>
          <w:szCs w:val="21"/>
        </w:rPr>
      </w:pPr>
      <w:r>
        <w:rPr>
          <w:rFonts w:hint="eastAsia" w:ascii="宋体" w:hAnsi="宋体" w:eastAsia="宋体" w:cs="宋体"/>
          <w:sz w:val="21"/>
          <w:szCs w:val="21"/>
        </w:rPr>
        <w:br w:type="page"/>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表2.7-1  人员取证一览表</w:t>
      </w:r>
    </w:p>
    <w:bookmarkEnd w:id="147"/>
    <w:bookmarkEnd w:id="148"/>
    <w:tbl>
      <w:tblPr>
        <w:tblStyle w:val="28"/>
        <w:tblW w:w="4954" w:type="pct"/>
        <w:tblInd w:w="0" w:type="dxa"/>
        <w:tblLayout w:type="fixed"/>
        <w:tblCellMar>
          <w:top w:w="0" w:type="dxa"/>
          <w:left w:w="108" w:type="dxa"/>
          <w:bottom w:w="0" w:type="dxa"/>
          <w:right w:w="108" w:type="dxa"/>
        </w:tblCellMar>
      </w:tblPr>
      <w:tblGrid>
        <w:gridCol w:w="467"/>
        <w:gridCol w:w="883"/>
        <w:gridCol w:w="1795"/>
        <w:gridCol w:w="1184"/>
        <w:gridCol w:w="1855"/>
        <w:gridCol w:w="1414"/>
        <w:gridCol w:w="1605"/>
      </w:tblGrid>
      <w:tr>
        <w:tblPrEx>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序号</w:t>
            </w:r>
          </w:p>
        </w:tc>
        <w:tc>
          <w:tcPr>
            <w:tcW w:w="479"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姓 名</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证书类别</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所在部门</w:t>
            </w:r>
          </w:p>
        </w:tc>
        <w:tc>
          <w:tcPr>
            <w:tcW w:w="100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发证机关</w:t>
            </w:r>
          </w:p>
        </w:tc>
        <w:tc>
          <w:tcPr>
            <w:tcW w:w="76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证件编号</w:t>
            </w:r>
          </w:p>
        </w:tc>
        <w:tc>
          <w:tcPr>
            <w:tcW w:w="872"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b/>
                <w:bCs/>
                <w:sz w:val="21"/>
                <w:szCs w:val="20"/>
              </w:rPr>
            </w:pPr>
            <w:r>
              <w:rPr>
                <w:rFonts w:hint="eastAsia" w:ascii="宋体" w:hAnsi="宋体" w:eastAsia="宋体" w:cs="宋体"/>
                <w:b/>
                <w:bCs/>
                <w:kern w:val="0"/>
                <w:sz w:val="21"/>
                <w:szCs w:val="20"/>
                <w:lang w:bidi="ar"/>
              </w:rPr>
              <w:t>有效期至</w:t>
            </w:r>
          </w:p>
        </w:tc>
      </w:tr>
      <w:tr>
        <w:tblPrEx>
          <w:tblCellMar>
            <w:top w:w="0" w:type="dxa"/>
            <w:left w:w="108" w:type="dxa"/>
            <w:bottom w:w="0" w:type="dxa"/>
            <w:right w:w="108" w:type="dxa"/>
          </w:tblCellMar>
        </w:tblPrEx>
        <w:trPr>
          <w:trHeight w:val="465" w:hRule="atLeast"/>
        </w:trPr>
        <w:tc>
          <w:tcPr>
            <w:tcW w:w="25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0"/>
                <w:lang w:bidi="ar"/>
              </w:rPr>
              <w:t>1</w:t>
            </w:r>
          </w:p>
        </w:tc>
        <w:tc>
          <w:tcPr>
            <w:tcW w:w="479"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kern w:val="0"/>
                <w:sz w:val="21"/>
                <w:szCs w:val="20"/>
                <w:lang w:bidi="ar"/>
              </w:rPr>
            </w:pPr>
            <w:r>
              <w:rPr>
                <w:rFonts w:hint="eastAsia" w:ascii="宋体" w:hAnsi="宋体" w:eastAsia="宋体" w:cs="宋体"/>
                <w:color w:val="auto"/>
                <w:kern w:val="0"/>
                <w:sz w:val="21"/>
                <w:szCs w:val="20"/>
                <w:lang w:bidi="ar"/>
              </w:rPr>
              <w:t>蔡海防</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kern w:val="0"/>
                <w:sz w:val="21"/>
                <w:szCs w:val="20"/>
                <w:lang w:bidi="ar"/>
              </w:rPr>
            </w:pPr>
            <w:r>
              <w:rPr>
                <w:rFonts w:hint="eastAsia" w:ascii="宋体" w:hAnsi="宋体" w:eastAsia="宋体" w:cs="宋体"/>
                <w:color w:val="auto"/>
                <w:kern w:val="0"/>
                <w:sz w:val="21"/>
                <w:szCs w:val="21"/>
                <w:lang w:bidi="ar"/>
              </w:rPr>
              <w:t>危险化学品使用单位主要负责人</w:t>
            </w:r>
          </w:p>
        </w:tc>
        <w:tc>
          <w:tcPr>
            <w:tcW w:w="64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宋体" w:hAnsi="宋体" w:eastAsia="宋体" w:cs="宋体"/>
                <w:color w:val="auto"/>
                <w:sz w:val="21"/>
                <w:szCs w:val="21"/>
              </w:rPr>
            </w:pPr>
            <w:r>
              <w:rPr>
                <w:rFonts w:hint="eastAsia" w:ascii="宋体" w:hAnsi="宋体" w:eastAsia="宋体" w:cs="宋体"/>
                <w:color w:val="auto"/>
                <w:sz w:val="21"/>
                <w:szCs w:val="21"/>
              </w:rPr>
              <w:t>法人</w:t>
            </w:r>
          </w:p>
        </w:tc>
        <w:tc>
          <w:tcPr>
            <w:tcW w:w="100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kern w:val="0"/>
                <w:sz w:val="21"/>
                <w:szCs w:val="20"/>
                <w:lang w:bidi="ar"/>
              </w:rPr>
            </w:pPr>
            <w:r>
              <w:rPr>
                <w:rFonts w:hint="eastAsia" w:ascii="宋体" w:hAnsi="宋体" w:eastAsia="宋体" w:cs="宋体"/>
                <w:color w:val="auto"/>
                <w:kern w:val="0"/>
                <w:sz w:val="21"/>
                <w:szCs w:val="21"/>
                <w:lang w:bidi="ar"/>
              </w:rPr>
              <w:t>南昌市安全科学技术服务中心</w:t>
            </w:r>
          </w:p>
        </w:tc>
        <w:tc>
          <w:tcPr>
            <w:tcW w:w="76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kern w:val="0"/>
                <w:sz w:val="21"/>
                <w:szCs w:val="20"/>
                <w:lang w:bidi="ar"/>
              </w:rPr>
            </w:pPr>
            <w:r>
              <w:rPr>
                <w:rFonts w:hint="eastAsia" w:ascii="宋体" w:hAnsi="宋体" w:eastAsia="宋体" w:cs="宋体"/>
                <w:color w:val="auto"/>
                <w:kern w:val="0"/>
                <w:sz w:val="21"/>
                <w:szCs w:val="21"/>
                <w:lang w:bidi="ar"/>
              </w:rPr>
              <w:t>350204197410166037</w:t>
            </w:r>
          </w:p>
        </w:tc>
        <w:tc>
          <w:tcPr>
            <w:tcW w:w="872"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kern w:val="0"/>
                <w:sz w:val="21"/>
                <w:szCs w:val="20"/>
                <w:lang w:bidi="ar"/>
              </w:rPr>
            </w:pPr>
            <w:r>
              <w:rPr>
                <w:rFonts w:hint="eastAsia" w:ascii="宋体" w:hAnsi="宋体" w:eastAsia="宋体" w:cs="宋体"/>
                <w:color w:val="auto"/>
                <w:kern w:val="0"/>
                <w:sz w:val="21"/>
                <w:szCs w:val="21"/>
                <w:lang w:bidi="ar"/>
              </w:rPr>
              <w:t>2025.07.11</w:t>
            </w:r>
          </w:p>
        </w:tc>
      </w:tr>
      <w:tr>
        <w:tblPrEx>
          <w:tblCellMar>
            <w:top w:w="0" w:type="dxa"/>
            <w:left w:w="108" w:type="dxa"/>
            <w:bottom w:w="0" w:type="dxa"/>
            <w:right w:w="108" w:type="dxa"/>
          </w:tblCellMar>
        </w:tblPrEx>
        <w:trPr>
          <w:trHeight w:val="465" w:hRule="atLeast"/>
        </w:trPr>
        <w:tc>
          <w:tcPr>
            <w:tcW w:w="25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0"/>
                <w:lang w:bidi="ar"/>
              </w:rPr>
              <w:t>2</w:t>
            </w:r>
          </w:p>
        </w:tc>
        <w:tc>
          <w:tcPr>
            <w:tcW w:w="479"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徐子良</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危险化学品使用单位安全生产管理人员</w:t>
            </w:r>
          </w:p>
        </w:tc>
        <w:tc>
          <w:tcPr>
            <w:tcW w:w="64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环安</w:t>
            </w:r>
          </w:p>
        </w:tc>
        <w:tc>
          <w:tcPr>
            <w:tcW w:w="100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南昌市安全科学技术服务中心</w:t>
            </w:r>
          </w:p>
        </w:tc>
        <w:tc>
          <w:tcPr>
            <w:tcW w:w="76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362326198403110934</w:t>
            </w:r>
          </w:p>
        </w:tc>
        <w:tc>
          <w:tcPr>
            <w:tcW w:w="872"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2024.02.09</w:t>
            </w:r>
          </w:p>
        </w:tc>
      </w:tr>
      <w:tr>
        <w:tblPrEx>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3</w:t>
            </w:r>
          </w:p>
        </w:tc>
        <w:tc>
          <w:tcPr>
            <w:tcW w:w="479"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李灿</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危险化学品使用单位安全生产管理人员</w:t>
            </w:r>
          </w:p>
        </w:tc>
        <w:tc>
          <w:tcPr>
            <w:tcW w:w="64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宋体" w:hAnsi="宋体" w:eastAsia="宋体" w:cs="宋体"/>
                <w:sz w:val="21"/>
                <w:szCs w:val="21"/>
              </w:rPr>
            </w:pPr>
            <w:r>
              <w:rPr>
                <w:rFonts w:hint="eastAsia" w:ascii="宋体" w:hAnsi="宋体" w:eastAsia="宋体" w:cs="宋体"/>
                <w:kern w:val="0"/>
                <w:sz w:val="21"/>
                <w:szCs w:val="21"/>
                <w:lang w:bidi="ar"/>
              </w:rPr>
              <w:t>环安</w:t>
            </w:r>
          </w:p>
        </w:tc>
        <w:tc>
          <w:tcPr>
            <w:tcW w:w="100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南昌市安全科学技术服务中心</w:t>
            </w:r>
          </w:p>
        </w:tc>
        <w:tc>
          <w:tcPr>
            <w:tcW w:w="76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340825199102250853</w:t>
            </w:r>
          </w:p>
        </w:tc>
        <w:tc>
          <w:tcPr>
            <w:tcW w:w="872"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sz w:val="21"/>
                <w:szCs w:val="20"/>
              </w:rPr>
            </w:pPr>
            <w:r>
              <w:rPr>
                <w:rFonts w:hint="eastAsia" w:ascii="宋体" w:hAnsi="宋体" w:eastAsia="宋体" w:cs="宋体"/>
                <w:color w:val="auto"/>
                <w:kern w:val="0"/>
                <w:sz w:val="21"/>
                <w:szCs w:val="21"/>
                <w:lang w:bidi="ar"/>
              </w:rPr>
              <w:t>2025.01.12</w:t>
            </w:r>
          </w:p>
        </w:tc>
      </w:tr>
      <w:tr>
        <w:tblPrEx>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0"/>
                <w:lang w:bidi="ar"/>
              </w:rPr>
              <w:t>4</w:t>
            </w:r>
          </w:p>
        </w:tc>
        <w:tc>
          <w:tcPr>
            <w:tcW w:w="479"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王玮</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危险化学品使用单位安全生产管理人员</w:t>
            </w:r>
          </w:p>
        </w:tc>
        <w:tc>
          <w:tcPr>
            <w:tcW w:w="643"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auto"/>
              <w:jc w:val="center"/>
              <w:textAlignment w:val="center"/>
              <w:rPr>
                <w:rFonts w:hint="eastAsia" w:ascii="宋体" w:hAnsi="宋体" w:eastAsia="宋体" w:cs="宋体"/>
                <w:sz w:val="21"/>
                <w:szCs w:val="21"/>
              </w:rPr>
            </w:pPr>
            <w:r>
              <w:rPr>
                <w:rFonts w:hint="eastAsia" w:ascii="宋体" w:hAnsi="宋体" w:eastAsia="宋体" w:cs="宋体"/>
                <w:kern w:val="0"/>
                <w:sz w:val="21"/>
                <w:szCs w:val="21"/>
                <w:lang w:bidi="ar"/>
              </w:rPr>
              <w:t>环安</w:t>
            </w:r>
          </w:p>
        </w:tc>
        <w:tc>
          <w:tcPr>
            <w:tcW w:w="100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南昌市安全科学技术服务中心</w:t>
            </w:r>
          </w:p>
        </w:tc>
        <w:tc>
          <w:tcPr>
            <w:tcW w:w="768"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420582198307285837</w:t>
            </w:r>
          </w:p>
        </w:tc>
        <w:tc>
          <w:tcPr>
            <w:tcW w:w="872"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sz w:val="21"/>
                <w:szCs w:val="20"/>
              </w:rPr>
            </w:pPr>
            <w:r>
              <w:rPr>
                <w:rFonts w:hint="eastAsia" w:ascii="宋体" w:hAnsi="宋体" w:eastAsia="宋体" w:cs="宋体"/>
                <w:color w:val="auto"/>
                <w:kern w:val="0"/>
                <w:sz w:val="21"/>
                <w:szCs w:val="21"/>
                <w:lang w:bidi="ar"/>
              </w:rPr>
              <w:t>2025.01.12</w:t>
            </w:r>
          </w:p>
        </w:tc>
      </w:tr>
      <w:tr>
        <w:tblPrEx>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0"/>
                <w:lang w:bidi="ar"/>
              </w:rPr>
              <w:t>5</w:t>
            </w:r>
          </w:p>
        </w:tc>
        <w:tc>
          <w:tcPr>
            <w:tcW w:w="479"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范俊鹏</w:t>
            </w:r>
          </w:p>
        </w:tc>
        <w:tc>
          <w:tcPr>
            <w:tcW w:w="975"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危险化学品使用单位安全生产管理人员</w:t>
            </w:r>
          </w:p>
        </w:tc>
        <w:tc>
          <w:tcPr>
            <w:tcW w:w="643" w:type="pct"/>
            <w:tcBorders>
              <w:top w:val="single" w:color="000000" w:sz="4" w:space="0"/>
              <w:left w:val="single" w:color="000000" w:sz="4" w:space="0"/>
              <w:bottom w:val="single" w:color="auto" w:sz="4" w:space="0"/>
              <w:right w:val="single" w:color="000000" w:sz="4" w:space="0"/>
            </w:tcBorders>
            <w:vAlign w:val="center"/>
          </w:tcPr>
          <w:p>
            <w:pPr>
              <w:widowControl/>
              <w:spacing w:line="240" w:lineRule="auto"/>
              <w:jc w:val="center"/>
              <w:textAlignment w:val="center"/>
              <w:rPr>
                <w:rFonts w:hint="eastAsia" w:ascii="宋体" w:hAnsi="宋体" w:eastAsia="宋体" w:cs="宋体"/>
                <w:sz w:val="21"/>
                <w:szCs w:val="21"/>
              </w:rPr>
            </w:pPr>
            <w:r>
              <w:rPr>
                <w:rFonts w:hint="eastAsia" w:ascii="宋体" w:hAnsi="宋体" w:eastAsia="宋体" w:cs="宋体"/>
                <w:kern w:val="0"/>
                <w:sz w:val="21"/>
                <w:szCs w:val="21"/>
                <w:lang w:bidi="ar"/>
              </w:rPr>
              <w:t>环安</w:t>
            </w:r>
          </w:p>
        </w:tc>
        <w:tc>
          <w:tcPr>
            <w:tcW w:w="1008"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南昌市安全科学技术服务中心</w:t>
            </w:r>
          </w:p>
        </w:tc>
        <w:tc>
          <w:tcPr>
            <w:tcW w:w="768"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362102197709074212</w:t>
            </w:r>
          </w:p>
        </w:tc>
        <w:tc>
          <w:tcPr>
            <w:tcW w:w="872" w:type="pct"/>
            <w:tcBorders>
              <w:top w:val="single" w:color="000000" w:sz="4" w:space="0"/>
              <w:left w:val="single" w:color="000000" w:sz="4" w:space="0"/>
              <w:bottom w:val="single" w:color="auto" w:sz="4" w:space="0"/>
              <w:right w:val="single" w:color="000000" w:sz="4" w:space="0"/>
            </w:tcBorders>
            <w:noWrap/>
            <w:vAlign w:val="center"/>
          </w:tcPr>
          <w:p>
            <w:pPr>
              <w:widowControl/>
              <w:spacing w:line="240" w:lineRule="auto"/>
              <w:jc w:val="center"/>
              <w:textAlignment w:val="center"/>
              <w:rPr>
                <w:rFonts w:hint="eastAsia" w:ascii="宋体" w:hAnsi="宋体" w:eastAsia="宋体" w:cs="宋体"/>
                <w:color w:val="auto"/>
                <w:sz w:val="21"/>
                <w:szCs w:val="20"/>
              </w:rPr>
            </w:pPr>
            <w:r>
              <w:rPr>
                <w:rFonts w:hint="eastAsia" w:ascii="宋体" w:hAnsi="宋体" w:eastAsia="宋体" w:cs="宋体"/>
                <w:color w:val="auto"/>
                <w:kern w:val="0"/>
                <w:sz w:val="21"/>
                <w:szCs w:val="21"/>
                <w:lang w:bidi="ar"/>
              </w:rPr>
              <w:t>2025.01.12</w:t>
            </w:r>
          </w:p>
        </w:tc>
      </w:tr>
      <w:bookmarkEnd w:id="135"/>
      <w:bookmarkEnd w:id="136"/>
      <w:bookmarkEnd w:id="137"/>
      <w:bookmarkEnd w:id="138"/>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bookmarkStart w:id="149" w:name="_Toc525109145"/>
            <w:bookmarkStart w:id="150" w:name="_Toc18635"/>
            <w:bookmarkStart w:id="151" w:name="_Toc19214"/>
            <w:r>
              <w:rPr>
                <w:rFonts w:hint="eastAsia" w:ascii="宋体" w:hAnsi="宋体" w:eastAsia="宋体" w:cs="宋体"/>
                <w:sz w:val="21"/>
                <w:szCs w:val="20"/>
              </w:rPr>
              <w:t>6</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王红蕾</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危险化学品使用单位安全生产管理人员</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1"/>
              </w:rPr>
            </w:pPr>
            <w:r>
              <w:rPr>
                <w:rFonts w:hint="eastAsia" w:ascii="宋体" w:hAnsi="宋体" w:eastAsia="宋体" w:cs="宋体"/>
                <w:kern w:val="0"/>
                <w:sz w:val="21"/>
                <w:szCs w:val="21"/>
                <w:lang w:bidi="ar"/>
              </w:rPr>
              <w:t>环安</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南昌市安全科学技术服务中心</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360425199212092528</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color w:val="auto"/>
                <w:sz w:val="21"/>
                <w:szCs w:val="20"/>
              </w:rPr>
            </w:pPr>
            <w:r>
              <w:rPr>
                <w:rFonts w:hint="eastAsia" w:ascii="宋体" w:hAnsi="宋体" w:eastAsia="宋体" w:cs="宋体"/>
                <w:color w:val="auto"/>
                <w:kern w:val="0"/>
                <w:sz w:val="21"/>
                <w:szCs w:val="21"/>
                <w:lang w:bidi="ar"/>
              </w:rPr>
              <w:t>2025.01.12</w:t>
            </w:r>
          </w:p>
        </w:tc>
      </w:tr>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7</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徐子良</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注册安全工程师（化工安全）</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环安</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应急管理部</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kern w:val="0"/>
                <w:sz w:val="21"/>
                <w:szCs w:val="21"/>
                <w:lang w:bidi="ar"/>
              </w:rPr>
              <w:t>362326198403110934</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2026.08.16</w:t>
            </w:r>
          </w:p>
        </w:tc>
      </w:tr>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8</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黄福龙</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低压电工作业</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厂务</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南昌市行政审批局</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T360121199009251931</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2025.03.12</w:t>
            </w:r>
          </w:p>
        </w:tc>
      </w:tr>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9</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赖约汉</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低压电工作业</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厂务</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南昌市行政审批局</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T362427199001097032</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2026.08.25</w:t>
            </w:r>
          </w:p>
        </w:tc>
      </w:tr>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10</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1"/>
                <w:lang w:bidi="ar"/>
              </w:rPr>
              <w:t>张志强</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0"/>
                <w:lang w:bidi="ar"/>
              </w:rPr>
              <w:t>高压电工</w:t>
            </w:r>
            <w:r>
              <w:rPr>
                <w:rFonts w:hint="eastAsia" w:ascii="宋体" w:hAnsi="宋体" w:eastAsia="宋体" w:cs="宋体"/>
                <w:kern w:val="0"/>
                <w:sz w:val="21"/>
                <w:szCs w:val="21"/>
                <w:lang w:bidi="ar"/>
              </w:rPr>
              <w:t>作业</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厂务</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1"/>
                <w:lang w:bidi="ar"/>
              </w:rPr>
              <w:t>南昌市行政审批局</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1"/>
                <w:lang w:bidi="ar"/>
              </w:rPr>
              <w:t>T131126198811101012</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1"/>
                <w:lang w:bidi="ar"/>
              </w:rPr>
              <w:t>2025.12.15</w:t>
            </w:r>
          </w:p>
        </w:tc>
      </w:tr>
      <w:tr>
        <w:tblPrEx>
          <w:tblCellMar>
            <w:top w:w="0" w:type="dxa"/>
            <w:left w:w="108" w:type="dxa"/>
            <w:bottom w:w="0" w:type="dxa"/>
            <w:right w:w="108" w:type="dxa"/>
          </w:tblCellMar>
        </w:tblPrEx>
        <w:trPr>
          <w:trHeight w:val="660" w:hRule="atLeast"/>
        </w:trPr>
        <w:tc>
          <w:tcPr>
            <w:tcW w:w="46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sz w:val="21"/>
                <w:szCs w:val="20"/>
              </w:rPr>
            </w:pPr>
            <w:r>
              <w:rPr>
                <w:rFonts w:hint="eastAsia" w:ascii="宋体" w:hAnsi="宋体" w:eastAsia="宋体" w:cs="宋体"/>
                <w:sz w:val="21"/>
                <w:szCs w:val="20"/>
              </w:rPr>
              <w:t>11</w:t>
            </w:r>
          </w:p>
        </w:tc>
        <w:tc>
          <w:tcPr>
            <w:tcW w:w="88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邹俊林</w:t>
            </w:r>
          </w:p>
        </w:tc>
        <w:tc>
          <w:tcPr>
            <w:tcW w:w="975"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0"/>
                <w:lang w:bidi="ar"/>
              </w:rPr>
            </w:pPr>
            <w:r>
              <w:rPr>
                <w:rFonts w:hint="eastAsia" w:ascii="宋体" w:hAnsi="宋体" w:eastAsia="宋体" w:cs="宋体"/>
                <w:kern w:val="0"/>
                <w:sz w:val="21"/>
                <w:szCs w:val="20"/>
                <w:lang w:bidi="ar"/>
              </w:rPr>
              <w:t>高压电工</w:t>
            </w:r>
            <w:r>
              <w:rPr>
                <w:rFonts w:hint="eastAsia" w:ascii="宋体" w:hAnsi="宋体" w:eastAsia="宋体" w:cs="宋体"/>
                <w:kern w:val="0"/>
                <w:sz w:val="21"/>
                <w:szCs w:val="21"/>
                <w:lang w:bidi="ar"/>
              </w:rPr>
              <w:t>作业</w:t>
            </w:r>
          </w:p>
        </w:tc>
        <w:tc>
          <w:tcPr>
            <w:tcW w:w="643"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厂务</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南昌市行政审批局</w:t>
            </w:r>
          </w:p>
        </w:tc>
        <w:tc>
          <w:tcPr>
            <w:tcW w:w="141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T362228199411131315</w:t>
            </w:r>
          </w:p>
        </w:tc>
        <w:tc>
          <w:tcPr>
            <w:tcW w:w="872" w:type="pc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2025.12.15</w:t>
            </w:r>
          </w:p>
        </w:tc>
      </w:tr>
    </w:tbl>
    <w:p>
      <w:pPr>
        <w:pStyle w:val="5"/>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val="0"/>
          <w:bCs w:val="0"/>
          <w:kern w:val="0"/>
          <w:szCs w:val="28"/>
        </w:rPr>
      </w:pPr>
      <w:r>
        <w:rPr>
          <w:rFonts w:hint="eastAsia" w:ascii="宋体" w:hAnsi="宋体" w:eastAsia="宋体" w:cs="宋体"/>
          <w:b w:val="0"/>
          <w:bCs w:val="0"/>
          <w:kern w:val="0"/>
          <w:szCs w:val="28"/>
        </w:rPr>
        <w:t>2.7.4个人防护用品、应急物资</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操作人员配备有耐酸碱手套、防化服、工作服、安全帽、口罩等劳动保护用品，在中控室、车间等处配备有应急救援物资。</w:t>
      </w:r>
    </w:p>
    <w:p>
      <w:pPr>
        <w:rPr>
          <w:rFonts w:hint="eastAsia" w:ascii="宋体" w:hAnsi="宋体" w:eastAsia="宋体" w:cs="宋体"/>
          <w:color w:val="auto"/>
          <w:szCs w:val="28"/>
        </w:rPr>
      </w:pPr>
      <w:r>
        <w:rPr>
          <w:rFonts w:hint="eastAsia" w:ascii="宋体" w:hAnsi="宋体" w:eastAsia="宋体" w:cs="宋体"/>
          <w:color w:val="auto"/>
          <w:szCs w:val="28"/>
        </w:rPr>
        <w:br w:type="page"/>
      </w:r>
    </w:p>
    <w:p>
      <w:pPr>
        <w:pStyle w:val="36"/>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color w:val="auto"/>
        </w:rPr>
      </w:pPr>
      <w:r>
        <w:rPr>
          <w:rFonts w:hint="eastAsia" w:ascii="宋体" w:hAnsi="宋体" w:eastAsia="宋体" w:cs="宋体"/>
          <w:color w:val="auto"/>
          <w:szCs w:val="28"/>
        </w:rPr>
        <w:t>表2.7-1应急物资配备一览表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742"/>
        <w:gridCol w:w="1438"/>
        <w:gridCol w:w="885"/>
        <w:gridCol w:w="853"/>
        <w:gridCol w:w="1296"/>
        <w:gridCol w:w="2134"/>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序号</w:t>
            </w:r>
          </w:p>
        </w:tc>
        <w:tc>
          <w:tcPr>
            <w:tcW w:w="742"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类别</w:t>
            </w: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材料名称</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单位</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数量</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存放地点</w:t>
            </w:r>
          </w:p>
        </w:tc>
        <w:tc>
          <w:tcPr>
            <w:tcW w:w="2134"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联系人</w:t>
            </w: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w:t>
            </w:r>
          </w:p>
        </w:tc>
        <w:tc>
          <w:tcPr>
            <w:tcW w:w="742" w:type="dxa"/>
            <w:vMerge w:val="restart"/>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应急设施</w:t>
            </w: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担架</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副</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5</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restart"/>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李灿</w:t>
            </w:r>
            <w:r>
              <w:rPr>
                <w:rFonts w:hint="eastAsia" w:ascii="宋体" w:hAnsi="宋体" w:eastAsia="宋体" w:cs="宋体"/>
                <w:kern w:val="0"/>
                <w:sz w:val="21"/>
                <w:szCs w:val="21"/>
                <w:lang w:bidi="ar"/>
              </w:rPr>
              <w:br w:type="textWrapping"/>
            </w:r>
            <w:r>
              <w:rPr>
                <w:rFonts w:hint="eastAsia" w:ascii="宋体" w:hAnsi="宋体" w:eastAsia="宋体" w:cs="宋体"/>
                <w:kern w:val="0"/>
                <w:sz w:val="21"/>
                <w:szCs w:val="21"/>
                <w:lang w:bidi="ar"/>
              </w:rPr>
              <w:t>15706872008</w:t>
            </w: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对讲机</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急救药箱</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4</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防毒面具</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5</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雨靴</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双</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雨衣</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件</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7</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SCBA</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套</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12</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8</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耐酸碱手套</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双</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9</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防护靴</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双</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10</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C级防护服</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套</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5</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11</w:t>
            </w:r>
          </w:p>
        </w:tc>
        <w:tc>
          <w:tcPr>
            <w:tcW w:w="742" w:type="dxa"/>
            <w:vMerge w:val="restart"/>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消防设施</w:t>
            </w: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消防服</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套</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8</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12</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消防锹</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把</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7</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13</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消防沙箱</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7</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14</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灭火毯</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张</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8</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15</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潜水泵</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台</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耐腐蚀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16</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自救呼吸器</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17</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消防斧</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把</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18</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照明灯</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个</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restart"/>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李灿</w:t>
            </w:r>
            <w:r>
              <w:rPr>
                <w:rFonts w:hint="eastAsia" w:ascii="宋体" w:hAnsi="宋体" w:eastAsia="宋体" w:cs="宋体"/>
                <w:kern w:val="0"/>
                <w:sz w:val="21"/>
                <w:szCs w:val="21"/>
                <w:lang w:bidi="ar"/>
              </w:rPr>
              <w:br w:type="textWrapping"/>
            </w:r>
            <w:r>
              <w:rPr>
                <w:rFonts w:hint="eastAsia" w:ascii="宋体" w:hAnsi="宋体" w:eastAsia="宋体" w:cs="宋体"/>
                <w:kern w:val="0"/>
                <w:sz w:val="21"/>
                <w:szCs w:val="21"/>
                <w:lang w:bidi="ar"/>
              </w:rPr>
              <w:t>15706872008</w:t>
            </w: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19</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扳手</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把</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20</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绳子</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条</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6</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3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21</w:t>
            </w:r>
          </w:p>
        </w:tc>
        <w:tc>
          <w:tcPr>
            <w:tcW w:w="742"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1438"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灭火器</w:t>
            </w:r>
          </w:p>
        </w:tc>
        <w:tc>
          <w:tcPr>
            <w:tcW w:w="885"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支</w:t>
            </w:r>
          </w:p>
        </w:tc>
        <w:tc>
          <w:tcPr>
            <w:tcW w:w="853"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900</w:t>
            </w:r>
          </w:p>
        </w:tc>
        <w:tc>
          <w:tcPr>
            <w:tcW w:w="1296" w:type="dxa"/>
            <w:vAlign w:val="center"/>
          </w:tcPr>
          <w:p>
            <w:pPr>
              <w:widowControl/>
              <w:spacing w:line="240" w:lineRule="auto"/>
              <w:jc w:val="center"/>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作业场所</w:t>
            </w:r>
          </w:p>
        </w:tc>
        <w:tc>
          <w:tcPr>
            <w:tcW w:w="2134" w:type="dxa"/>
            <w:vMerge w:val="continue"/>
            <w:vAlign w:val="center"/>
          </w:tcPr>
          <w:p>
            <w:pPr>
              <w:widowControl/>
              <w:spacing w:line="240" w:lineRule="auto"/>
              <w:jc w:val="center"/>
              <w:textAlignment w:val="center"/>
              <w:rPr>
                <w:rFonts w:hint="eastAsia" w:ascii="宋体" w:hAnsi="宋体" w:eastAsia="宋体" w:cs="宋体"/>
                <w:kern w:val="0"/>
                <w:sz w:val="21"/>
                <w:szCs w:val="21"/>
                <w:lang w:bidi="ar"/>
              </w:rPr>
            </w:pPr>
          </w:p>
        </w:tc>
        <w:tc>
          <w:tcPr>
            <w:tcW w:w="892" w:type="dxa"/>
            <w:vAlign w:val="center"/>
          </w:tcPr>
          <w:p>
            <w:pPr>
              <w:widowControl/>
              <w:spacing w:line="240" w:lineRule="auto"/>
              <w:jc w:val="center"/>
              <w:textAlignment w:val="center"/>
              <w:rPr>
                <w:rFonts w:hint="eastAsia" w:ascii="宋体" w:hAnsi="宋体" w:eastAsia="宋体" w:cs="宋体"/>
                <w:kern w:val="0"/>
                <w:sz w:val="21"/>
                <w:szCs w:val="21"/>
                <w:lang w:bidi="ar"/>
              </w:rPr>
            </w:pPr>
          </w:p>
        </w:tc>
      </w:tr>
    </w:tbl>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152" w:name="_Toc12725"/>
      <w:r>
        <w:rPr>
          <w:rFonts w:hint="eastAsia" w:ascii="宋体" w:hAnsi="宋体" w:eastAsia="宋体" w:cs="宋体"/>
          <w:sz w:val="30"/>
          <w:szCs w:val="30"/>
        </w:rPr>
        <w:t>2.8事故应急预案</w:t>
      </w:r>
      <w:bookmarkEnd w:id="149"/>
      <w:bookmarkEnd w:id="150"/>
      <w:bookmarkEnd w:id="151"/>
      <w:bookmarkEnd w:id="152"/>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bCs/>
          <w:szCs w:val="28"/>
        </w:rPr>
        <w:t>该公司根据企业自身实际情况，依据《生产经营单位</w:t>
      </w:r>
      <w:r>
        <w:rPr>
          <w:rFonts w:hint="eastAsia" w:ascii="宋体" w:hAnsi="宋体" w:eastAsia="宋体" w:cs="宋体"/>
          <w:szCs w:val="28"/>
        </w:rPr>
        <w:t>生产安全</w:t>
      </w:r>
      <w:r>
        <w:rPr>
          <w:rFonts w:hint="eastAsia" w:ascii="宋体" w:hAnsi="宋体" w:eastAsia="宋体" w:cs="宋体"/>
          <w:bCs/>
          <w:szCs w:val="28"/>
        </w:rPr>
        <w:t>事故应急预案编制导则》(GB/T29639-2020)的要求编制了事故应急救援预案，并在南昌市安全生产应急救援指挥中心备案。应急预案包含了氨回收系统现场处置方案。</w:t>
      </w:r>
      <w:r>
        <w:rPr>
          <w:rFonts w:hint="eastAsia" w:ascii="宋体" w:hAnsi="宋体" w:eastAsia="宋体" w:cs="宋体"/>
          <w:szCs w:val="28"/>
        </w:rPr>
        <w:t>同时，企业成立有应急救援小组，建立了应急响应程序，并定期组织了员工参与应急演练。</w:t>
      </w:r>
    </w:p>
    <w:p>
      <w:pPr>
        <w:pStyle w:val="3"/>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rPr>
      </w:pPr>
      <w:r>
        <w:rPr>
          <w:rFonts w:hint="eastAsia" w:ascii="宋体" w:hAnsi="宋体" w:eastAsia="宋体" w:cs="宋体"/>
          <w:kern w:val="2"/>
          <w:sz w:val="28"/>
          <w:szCs w:val="28"/>
        </w:rPr>
        <w:br w:type="page"/>
      </w:r>
      <w:bookmarkStart w:id="153" w:name="_Toc525109147"/>
      <w:bookmarkStart w:id="154" w:name="_Toc13710"/>
      <w:bookmarkStart w:id="155" w:name="_Toc26491"/>
      <w:bookmarkStart w:id="156" w:name="_Toc16748"/>
      <w:r>
        <w:rPr>
          <w:rFonts w:hint="eastAsia" w:ascii="宋体" w:hAnsi="宋体" w:eastAsia="宋体" w:cs="宋体"/>
        </w:rPr>
        <w:t>3、危险、有害因素分析</w:t>
      </w:r>
      <w:bookmarkEnd w:id="153"/>
      <w:bookmarkEnd w:id="154"/>
      <w:bookmarkEnd w:id="155"/>
      <w:bookmarkEnd w:id="156"/>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危险是指可能造成人员伤害、职业病、财产损失、作业环境破坏的根源或状态。危害是指特定危险事件发生的可能性与后果的结合。危害因素是指能对人造成伤亡或对物造成突发性损坏的因素，强调突发性和瞬间作用。从其产生的各类及形式看，主要有火灾、爆炸、中毒、窒息、电气事故等各类因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有害因素是指能影响人的身体健康，导致疾病，或对物造成慢性损坏的因素，强调在一定范围内的积累作用。主要有生产性粉尘、毒物、噪声与振动、辐射、高温、低温等。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能量，有害物质的存在是危险，有害因素的产生根源，系统具有的能量越大，存在的有害物质的数量越多，系统的潜在危险性和危害性也越大。能量，有害物质的失控是危险，有害因素产生的条件，失控主要体现在设备故障，人为失误，管理缺陷，环境因素四个方面。</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本评价报告通过对该企业有关资料的分析，确定本企业的主要危险有害因素的种类，分布及可能产生的方式和途径。</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157" w:name="_Toc16376"/>
      <w:bookmarkStart w:id="158" w:name="_Toc204429141"/>
      <w:bookmarkStart w:id="159" w:name="_Toc525109148"/>
      <w:bookmarkStart w:id="160" w:name="_Toc7417"/>
      <w:bookmarkStart w:id="161" w:name="_Toc3699"/>
      <w:r>
        <w:rPr>
          <w:rFonts w:hint="eastAsia" w:ascii="宋体" w:hAnsi="宋体" w:eastAsia="宋体" w:cs="宋体"/>
          <w:sz w:val="30"/>
          <w:szCs w:val="30"/>
        </w:rPr>
        <w:t>3.1物质的主要危险、有害特性</w:t>
      </w:r>
      <w:bookmarkEnd w:id="157"/>
      <w:bookmarkEnd w:id="158"/>
      <w:bookmarkEnd w:id="159"/>
      <w:bookmarkEnd w:id="160"/>
      <w:bookmarkEnd w:id="161"/>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bookmarkStart w:id="162" w:name="_Toc239869684"/>
      <w:r>
        <w:rPr>
          <w:rFonts w:hint="eastAsia" w:ascii="宋体" w:hAnsi="宋体" w:eastAsia="宋体" w:cs="宋体"/>
          <w:szCs w:val="28"/>
        </w:rPr>
        <w:t>根据本项目工艺流程及生产过程涉及的物料，列入《危险化学品目录》（2015年版）的有：氨气、氨水（20-22%）、氢气。其理化特性如下，相关安全技术说明见报告附件一：</w:t>
      </w:r>
    </w:p>
    <w:p>
      <w:pPr>
        <w:rPr>
          <w:rStyle w:val="43"/>
          <w:rFonts w:hint="eastAsia" w:ascii="宋体" w:hAnsi="宋体" w:eastAsia="宋体" w:cs="宋体"/>
          <w:bCs/>
        </w:rPr>
      </w:pPr>
      <w:r>
        <w:rPr>
          <w:rStyle w:val="43"/>
          <w:rFonts w:hint="eastAsia" w:ascii="宋体" w:hAnsi="宋体" w:eastAsia="宋体" w:cs="宋体"/>
          <w:bCs/>
        </w:rPr>
        <w:br w:type="page"/>
      </w:r>
    </w:p>
    <w:p>
      <w:pPr>
        <w:pageBreakBefore w:val="0"/>
        <w:widowControl w:val="0"/>
        <w:kinsoku/>
        <w:wordWrap/>
        <w:overflowPunct/>
        <w:topLinePunct w:val="0"/>
        <w:autoSpaceDE/>
        <w:autoSpaceDN/>
        <w:bidi w:val="0"/>
        <w:adjustRightInd/>
        <w:snapToGrid/>
        <w:spacing w:line="600" w:lineRule="exact"/>
        <w:jc w:val="center"/>
        <w:textAlignment w:val="auto"/>
        <w:rPr>
          <w:rStyle w:val="43"/>
          <w:rFonts w:hint="eastAsia" w:ascii="宋体" w:hAnsi="宋体" w:eastAsia="宋体" w:cs="宋体"/>
          <w:snapToGrid/>
          <w:spacing w:val="0"/>
          <w:kern w:val="2"/>
        </w:rPr>
      </w:pPr>
      <w:r>
        <w:rPr>
          <w:rStyle w:val="43"/>
          <w:rFonts w:hint="eastAsia" w:ascii="宋体" w:hAnsi="宋体" w:eastAsia="宋体" w:cs="宋体"/>
          <w:bCs/>
        </w:rPr>
        <w:t>表3.1-1 危险化学品理化性质情况</w:t>
      </w:r>
    </w:p>
    <w:tbl>
      <w:tblPr>
        <w:tblStyle w:val="2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138"/>
        <w:gridCol w:w="1354"/>
        <w:gridCol w:w="884"/>
        <w:gridCol w:w="900"/>
        <w:gridCol w:w="1263"/>
        <w:gridCol w:w="824"/>
        <w:gridCol w:w="1180"/>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序号</w:t>
            </w:r>
          </w:p>
        </w:tc>
        <w:tc>
          <w:tcPr>
            <w:tcW w:w="1138"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名称</w:t>
            </w:r>
          </w:p>
        </w:tc>
        <w:tc>
          <w:tcPr>
            <w:tcW w:w="135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CAS号</w:t>
            </w:r>
          </w:p>
        </w:tc>
        <w:tc>
          <w:tcPr>
            <w:tcW w:w="88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闪点℃</w:t>
            </w:r>
          </w:p>
        </w:tc>
        <w:tc>
          <w:tcPr>
            <w:tcW w:w="90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燃烧性</w:t>
            </w:r>
          </w:p>
        </w:tc>
        <w:tc>
          <w:tcPr>
            <w:tcW w:w="1263"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爆炸极</w:t>
            </w:r>
          </w:p>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限℅</w:t>
            </w:r>
          </w:p>
        </w:tc>
        <w:tc>
          <w:tcPr>
            <w:tcW w:w="82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火灾</w:t>
            </w:r>
          </w:p>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类别</w:t>
            </w:r>
          </w:p>
        </w:tc>
        <w:tc>
          <w:tcPr>
            <w:tcW w:w="118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相对密度</w:t>
            </w:r>
          </w:p>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(空气＝1/水＝1)</w:t>
            </w:r>
          </w:p>
        </w:tc>
        <w:tc>
          <w:tcPr>
            <w:tcW w:w="1178"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危险特性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1138"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kern w:val="0"/>
                <w:sz w:val="20"/>
                <w:szCs w:val="20"/>
              </w:rPr>
              <w:t>氨气</w:t>
            </w:r>
          </w:p>
        </w:tc>
        <w:tc>
          <w:tcPr>
            <w:tcW w:w="1354" w:type="dxa"/>
            <w:vAlign w:val="center"/>
          </w:tcPr>
          <w:p>
            <w:pPr>
              <w:spacing w:line="280" w:lineRule="exact"/>
              <w:jc w:val="center"/>
              <w:rPr>
                <w:rFonts w:hint="eastAsia" w:ascii="宋体" w:hAnsi="宋体" w:eastAsia="宋体" w:cs="宋体"/>
                <w:bCs/>
                <w:kern w:val="0"/>
                <w:sz w:val="21"/>
                <w:szCs w:val="21"/>
              </w:rPr>
            </w:pPr>
            <w:r>
              <w:rPr>
                <w:rFonts w:hint="eastAsia" w:ascii="宋体" w:hAnsi="宋体" w:eastAsia="宋体" w:cs="宋体"/>
                <w:kern w:val="0"/>
                <w:sz w:val="20"/>
                <w:szCs w:val="20"/>
              </w:rPr>
              <w:t>7664-41-7</w:t>
            </w:r>
          </w:p>
        </w:tc>
        <w:tc>
          <w:tcPr>
            <w:tcW w:w="88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无意义</w:t>
            </w:r>
          </w:p>
        </w:tc>
        <w:tc>
          <w:tcPr>
            <w:tcW w:w="90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易燃</w:t>
            </w:r>
          </w:p>
        </w:tc>
        <w:tc>
          <w:tcPr>
            <w:tcW w:w="1263"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15.7-27.4</w:t>
            </w:r>
          </w:p>
        </w:tc>
        <w:tc>
          <w:tcPr>
            <w:tcW w:w="82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乙</w:t>
            </w:r>
          </w:p>
        </w:tc>
        <w:tc>
          <w:tcPr>
            <w:tcW w:w="118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0.6</w:t>
            </w:r>
          </w:p>
        </w:tc>
        <w:tc>
          <w:tcPr>
            <w:tcW w:w="1178" w:type="dxa"/>
            <w:vAlign w:val="center"/>
          </w:tcPr>
          <w:p>
            <w:pPr>
              <w:widowControl/>
              <w:spacing w:line="320" w:lineRule="exact"/>
              <w:rPr>
                <w:rFonts w:hint="eastAsia" w:ascii="宋体" w:hAnsi="宋体" w:eastAsia="宋体" w:cs="宋体"/>
                <w:bCs/>
                <w:sz w:val="21"/>
                <w:szCs w:val="21"/>
              </w:rPr>
            </w:pPr>
            <w:r>
              <w:rPr>
                <w:rFonts w:hint="eastAsia" w:ascii="宋体" w:hAnsi="宋体" w:eastAsia="宋体" w:cs="宋体"/>
                <w:kern w:val="0"/>
                <w:sz w:val="20"/>
                <w:szCs w:val="20"/>
              </w:rPr>
              <w:t>易燃气体,类别2加压气体急性毒性-吸入,类别3*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Align w:val="center"/>
          </w:tcPr>
          <w:p>
            <w:pPr>
              <w:spacing w:line="280" w:lineRule="exact"/>
              <w:jc w:val="center"/>
              <w:rPr>
                <w:rFonts w:hint="eastAsia" w:ascii="宋体" w:hAnsi="宋体" w:eastAsia="宋体" w:cs="宋体"/>
                <w:bCs/>
                <w:kern w:val="0"/>
                <w:sz w:val="21"/>
                <w:szCs w:val="21"/>
              </w:rPr>
            </w:pPr>
            <w:r>
              <w:rPr>
                <w:rFonts w:hint="eastAsia" w:ascii="宋体" w:hAnsi="宋体" w:eastAsia="宋体" w:cs="宋体"/>
                <w:bCs/>
                <w:kern w:val="0"/>
                <w:sz w:val="21"/>
                <w:szCs w:val="21"/>
              </w:rPr>
              <w:t>2</w:t>
            </w:r>
          </w:p>
        </w:tc>
        <w:tc>
          <w:tcPr>
            <w:tcW w:w="1138"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kern w:val="0"/>
                <w:sz w:val="20"/>
                <w:szCs w:val="20"/>
              </w:rPr>
              <w:t>氨水（20-22%）</w:t>
            </w:r>
          </w:p>
        </w:tc>
        <w:tc>
          <w:tcPr>
            <w:tcW w:w="135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kern w:val="0"/>
                <w:sz w:val="20"/>
                <w:szCs w:val="20"/>
              </w:rPr>
              <w:t>1336-21-6</w:t>
            </w:r>
          </w:p>
        </w:tc>
        <w:tc>
          <w:tcPr>
            <w:tcW w:w="88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无意义</w:t>
            </w:r>
          </w:p>
        </w:tc>
        <w:tc>
          <w:tcPr>
            <w:tcW w:w="90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不燃</w:t>
            </w:r>
          </w:p>
        </w:tc>
        <w:tc>
          <w:tcPr>
            <w:tcW w:w="1263"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无意义</w:t>
            </w:r>
          </w:p>
        </w:tc>
        <w:tc>
          <w:tcPr>
            <w:tcW w:w="824" w:type="dxa"/>
            <w:vAlign w:val="center"/>
          </w:tcPr>
          <w:p>
            <w:pPr>
              <w:spacing w:line="280" w:lineRule="exact"/>
              <w:jc w:val="center"/>
              <w:rPr>
                <w:rFonts w:hint="eastAsia" w:ascii="宋体" w:hAnsi="宋体" w:eastAsia="宋体" w:cs="宋体"/>
                <w:bCs/>
                <w:sz w:val="21"/>
                <w:szCs w:val="21"/>
                <w:lang w:eastAsia="zh-CN"/>
              </w:rPr>
            </w:pPr>
            <w:r>
              <w:rPr>
                <w:rFonts w:hint="eastAsia" w:ascii="宋体" w:hAnsi="宋体" w:eastAsia="宋体" w:cs="宋体"/>
                <w:bCs/>
                <w:sz w:val="21"/>
                <w:szCs w:val="21"/>
                <w:lang w:eastAsia="zh-CN"/>
              </w:rPr>
              <w:t>戊</w:t>
            </w:r>
          </w:p>
        </w:tc>
        <w:tc>
          <w:tcPr>
            <w:tcW w:w="118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0.91</w:t>
            </w:r>
          </w:p>
        </w:tc>
        <w:tc>
          <w:tcPr>
            <w:tcW w:w="1178" w:type="dxa"/>
            <w:vAlign w:val="center"/>
          </w:tcPr>
          <w:p>
            <w:pPr>
              <w:widowControl/>
              <w:spacing w:line="360" w:lineRule="exact"/>
              <w:rPr>
                <w:rFonts w:hint="eastAsia" w:ascii="宋体" w:hAnsi="宋体" w:eastAsia="宋体" w:cs="宋体"/>
                <w:bCs/>
                <w:sz w:val="21"/>
                <w:szCs w:val="21"/>
              </w:rPr>
            </w:pPr>
            <w:r>
              <w:rPr>
                <w:rFonts w:hint="eastAsia" w:ascii="宋体" w:hAnsi="宋体" w:eastAsia="宋体" w:cs="宋体"/>
                <w:kern w:val="0"/>
                <w:sz w:val="20"/>
                <w:szCs w:val="20"/>
              </w:rPr>
              <w:t>皮肤腐蚀/刺激,类别1B严重眼损伤/眼刺激,类别1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9" w:type="dxa"/>
            <w:vAlign w:val="center"/>
          </w:tcPr>
          <w:p>
            <w:pPr>
              <w:spacing w:line="280" w:lineRule="exact"/>
              <w:jc w:val="center"/>
              <w:rPr>
                <w:rFonts w:hint="eastAsia" w:ascii="宋体" w:hAnsi="宋体" w:eastAsia="宋体" w:cs="宋体"/>
                <w:bCs/>
                <w:kern w:val="0"/>
                <w:sz w:val="21"/>
                <w:szCs w:val="21"/>
              </w:rPr>
            </w:pPr>
            <w:bookmarkStart w:id="163" w:name="_Toc2629"/>
            <w:bookmarkStart w:id="164" w:name="_Toc204429142"/>
            <w:bookmarkStart w:id="165" w:name="_Toc193531440"/>
            <w:bookmarkStart w:id="166" w:name="_Toc525109149"/>
            <w:bookmarkStart w:id="167" w:name="_Toc26301"/>
            <w:r>
              <w:rPr>
                <w:rFonts w:hint="eastAsia" w:ascii="宋体" w:hAnsi="宋体" w:eastAsia="宋体" w:cs="宋体"/>
                <w:bCs/>
                <w:kern w:val="0"/>
                <w:sz w:val="21"/>
                <w:szCs w:val="21"/>
              </w:rPr>
              <w:t>3</w:t>
            </w:r>
          </w:p>
        </w:tc>
        <w:tc>
          <w:tcPr>
            <w:tcW w:w="1138" w:type="dxa"/>
            <w:vAlign w:val="center"/>
          </w:tcPr>
          <w:p>
            <w:pPr>
              <w:spacing w:line="280" w:lineRule="exact"/>
              <w:jc w:val="center"/>
              <w:rPr>
                <w:rFonts w:hint="eastAsia" w:ascii="宋体" w:hAnsi="宋体" w:eastAsia="宋体" w:cs="宋体"/>
                <w:kern w:val="0"/>
                <w:sz w:val="20"/>
                <w:szCs w:val="20"/>
              </w:rPr>
            </w:pPr>
            <w:r>
              <w:rPr>
                <w:rFonts w:hint="eastAsia" w:ascii="宋体" w:hAnsi="宋体" w:eastAsia="宋体" w:cs="宋体"/>
                <w:kern w:val="0"/>
                <w:sz w:val="20"/>
                <w:szCs w:val="20"/>
              </w:rPr>
              <w:t>氢气</w:t>
            </w:r>
          </w:p>
        </w:tc>
        <w:tc>
          <w:tcPr>
            <w:tcW w:w="1354" w:type="dxa"/>
            <w:vAlign w:val="center"/>
          </w:tcPr>
          <w:p>
            <w:pPr>
              <w:spacing w:line="280" w:lineRule="exact"/>
              <w:jc w:val="center"/>
              <w:rPr>
                <w:rFonts w:hint="eastAsia" w:ascii="宋体" w:hAnsi="宋体" w:eastAsia="宋体" w:cs="宋体"/>
                <w:kern w:val="0"/>
                <w:sz w:val="20"/>
                <w:szCs w:val="20"/>
              </w:rPr>
            </w:pPr>
            <w:r>
              <w:rPr>
                <w:rFonts w:hint="eastAsia" w:ascii="宋体" w:hAnsi="宋体" w:eastAsia="宋体" w:cs="宋体"/>
                <w:kern w:val="0"/>
                <w:sz w:val="20"/>
                <w:szCs w:val="20"/>
              </w:rPr>
              <w:t>1333-74-0</w:t>
            </w:r>
          </w:p>
        </w:tc>
        <w:tc>
          <w:tcPr>
            <w:tcW w:w="88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无意义</w:t>
            </w:r>
          </w:p>
        </w:tc>
        <w:tc>
          <w:tcPr>
            <w:tcW w:w="90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易燃</w:t>
            </w:r>
          </w:p>
        </w:tc>
        <w:tc>
          <w:tcPr>
            <w:tcW w:w="1263"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4.1-74.1</w:t>
            </w:r>
          </w:p>
        </w:tc>
        <w:tc>
          <w:tcPr>
            <w:tcW w:w="824"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甲</w:t>
            </w:r>
          </w:p>
        </w:tc>
        <w:tc>
          <w:tcPr>
            <w:tcW w:w="1180"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0.07</w:t>
            </w:r>
          </w:p>
        </w:tc>
        <w:tc>
          <w:tcPr>
            <w:tcW w:w="1178" w:type="dxa"/>
            <w:vAlign w:val="center"/>
          </w:tcPr>
          <w:p>
            <w:pPr>
              <w:widowControl/>
              <w:spacing w:line="360" w:lineRule="exact"/>
              <w:rPr>
                <w:rFonts w:hint="eastAsia" w:ascii="宋体" w:hAnsi="宋体" w:eastAsia="宋体" w:cs="宋体"/>
                <w:kern w:val="0"/>
                <w:sz w:val="20"/>
                <w:szCs w:val="20"/>
              </w:rPr>
            </w:pPr>
            <w:r>
              <w:rPr>
                <w:rFonts w:hint="eastAsia" w:ascii="宋体" w:hAnsi="宋体" w:eastAsia="宋体" w:cs="宋体"/>
                <w:kern w:val="0"/>
                <w:sz w:val="20"/>
                <w:szCs w:val="20"/>
              </w:rPr>
              <w:t>易燃气体,类别1</w:t>
            </w:r>
          </w:p>
        </w:tc>
      </w:tr>
      <w:bookmarkEnd w:id="162"/>
    </w:tbl>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168" w:name="_Toc32707"/>
      <w:r>
        <w:rPr>
          <w:rFonts w:hint="eastAsia" w:ascii="宋体" w:hAnsi="宋体" w:eastAsia="宋体" w:cs="宋体"/>
          <w:sz w:val="30"/>
          <w:szCs w:val="30"/>
        </w:rPr>
        <w:t>3.2重大危险源辨识</w:t>
      </w:r>
      <w:bookmarkEnd w:id="163"/>
      <w:bookmarkEnd w:id="164"/>
      <w:bookmarkEnd w:id="165"/>
      <w:bookmarkEnd w:id="166"/>
      <w:bookmarkEnd w:id="167"/>
      <w:bookmarkEnd w:id="168"/>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Cs w:val="28"/>
        </w:rPr>
      </w:pPr>
      <w:r>
        <w:rPr>
          <w:rFonts w:hint="eastAsia" w:ascii="宋体" w:hAnsi="宋体" w:eastAsia="宋体" w:cs="宋体"/>
          <w:szCs w:val="28"/>
        </w:rPr>
        <w:t>辨识或确认重大危险源，是防止重大工业事故发生的第一步。其目的不仅是预防重大事故发生，而且要做到一旦发生事故，能将事故危害限制到最低程度。</w:t>
      </w:r>
    </w:p>
    <w:p>
      <w:pPr>
        <w:pageBreakBefore w:val="0"/>
        <w:widowControl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Cs w:val="28"/>
        </w:rPr>
      </w:pPr>
      <w:bookmarkStart w:id="169" w:name="_Toc116900103"/>
      <w:r>
        <w:rPr>
          <w:rFonts w:hint="eastAsia" w:ascii="宋体" w:hAnsi="宋体" w:eastAsia="宋体" w:cs="宋体"/>
          <w:szCs w:val="28"/>
        </w:rPr>
        <w:t>3.2.1 重大危险源</w:t>
      </w:r>
      <w:bookmarkEnd w:id="169"/>
      <w:r>
        <w:rPr>
          <w:rFonts w:hint="eastAsia" w:ascii="宋体" w:hAnsi="宋体" w:eastAsia="宋体" w:cs="宋体"/>
          <w:szCs w:val="28"/>
        </w:rPr>
        <w:t>辨识及分级依据</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bookmarkStart w:id="170" w:name="_Toc12978633"/>
      <w:r>
        <w:rPr>
          <w:rFonts w:hint="eastAsia" w:ascii="宋体" w:hAnsi="宋体" w:eastAsia="宋体" w:cs="宋体"/>
          <w:kern w:val="0"/>
          <w:szCs w:val="28"/>
        </w:rPr>
        <w:t xml:space="preserve">1 </w:t>
      </w:r>
      <w:r>
        <w:rPr>
          <w:rFonts w:hint="eastAsia" w:ascii="宋体" w:hAnsi="宋体" w:eastAsia="宋体" w:cs="宋体"/>
          <w:kern w:val="0"/>
          <w:szCs w:val="28"/>
          <w:lang w:val="zh-CN"/>
        </w:rPr>
        <w:t>基本规定</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《危险化学品重大危险源辨识》（GB18218-2018）规定：</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单元：涉及危险化学品生产、储存装置、设施或场所。分为生产单元和储存单元。</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rPr>
      </w:pPr>
      <w:r>
        <w:rPr>
          <w:rFonts w:hint="eastAsia" w:ascii="宋体" w:hAnsi="宋体" w:eastAsia="宋体" w:cs="宋体"/>
          <w:kern w:val="0"/>
          <w:szCs w:val="28"/>
        </w:rPr>
        <w:t>生产单元：</w:t>
      </w:r>
      <w:r>
        <w:rPr>
          <w:rFonts w:hint="eastAsia" w:ascii="宋体" w:hAnsi="宋体" w:eastAsia="宋体" w:cs="宋体"/>
          <w:kern w:val="0"/>
          <w:szCs w:val="28"/>
          <w:lang w:val="zh-CN"/>
        </w:rPr>
        <w:t>危险化学品的生产、加工及使用等的装置及设施，当装置及设施之间有切断阀时，以切断阀作为分隔界限划分为独立的单元。</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储存单元：用于储存危险化学品的储罐或仓库组成的相对独立的区域，储罐区以罐区防火堤为界限划分为独立的单元，仓库以独立库房(独立建筑物〉为界限划分为独立的单元。</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临界量：某种或某类危险化学品构成重大危险源所规定的最小数量。</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危险化学品重大危险源：长期地或临时地生产、储存、使用和经营危险化学品，且危险化学品的数量等于或超过临界量的单元。</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混合物：由两种或者多种物质组成的混合体或者溶液。</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生产单元、储存单元内存在的危险化学品为多品种时，则按下式计算，若满足下面公式，则为重大危险源：</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S＝q1/Q1＋q2/Q2＋…＋qn/Qn≥1</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式中：S－辨识指标；</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q1,q2 , …qn －每种危险化学品实际存在量，t；</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Q1,Q2…Qn－与每种危险化学品相对应的临界量，t。</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lang w:val="zh-CN"/>
        </w:rPr>
      </w:pPr>
      <w:r>
        <w:rPr>
          <w:rFonts w:hint="eastAsia" w:ascii="宋体" w:hAnsi="宋体" w:eastAsia="宋体" w:cs="宋体"/>
          <w:kern w:val="0"/>
          <w:szCs w:val="28"/>
          <w:lang w:val="zh-CN"/>
        </w:rPr>
        <w:t>危险化学品储罐以及其他容器、设备或仓储区的危险化学品实际存在量按最大设计量确定。</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kern w:val="0"/>
          <w:szCs w:val="28"/>
          <w:lang w:val="zh-CN"/>
        </w:rPr>
      </w:pPr>
      <w:r>
        <w:rPr>
          <w:rFonts w:hint="eastAsia" w:ascii="宋体" w:hAnsi="宋体" w:eastAsia="宋体" w:cs="宋体"/>
          <w:b w:val="0"/>
          <w:bCs w:val="0"/>
          <w:kern w:val="0"/>
          <w:szCs w:val="28"/>
          <w:lang w:val="zh-CN"/>
        </w:rPr>
        <w:t>3.</w:t>
      </w:r>
      <w:r>
        <w:rPr>
          <w:rFonts w:hint="eastAsia" w:ascii="宋体" w:hAnsi="宋体" w:eastAsia="宋体" w:cs="宋体"/>
          <w:b w:val="0"/>
          <w:bCs w:val="0"/>
          <w:kern w:val="0"/>
          <w:szCs w:val="28"/>
        </w:rPr>
        <w:t>2</w:t>
      </w:r>
      <w:r>
        <w:rPr>
          <w:rFonts w:hint="eastAsia" w:ascii="宋体" w:hAnsi="宋体" w:eastAsia="宋体" w:cs="宋体"/>
          <w:b w:val="0"/>
          <w:bCs w:val="0"/>
          <w:kern w:val="0"/>
          <w:szCs w:val="28"/>
          <w:lang w:val="zh-CN"/>
        </w:rPr>
        <w:t>.2 重大危险源辨识情况</w:t>
      </w:r>
      <w:bookmarkEnd w:id="170"/>
    </w:p>
    <w:p>
      <w:pPr>
        <w:pageBreakBefore w:val="0"/>
        <w:widowControl w:val="0"/>
        <w:kinsoku/>
        <w:wordWrap/>
        <w:overflowPunct/>
        <w:topLinePunct w:val="0"/>
        <w:autoSpaceDE/>
        <w:autoSpaceDN/>
        <w:bidi w:val="0"/>
        <w:adjustRightInd/>
        <w:snapToGrid/>
        <w:spacing w:line="600" w:lineRule="exact"/>
        <w:ind w:firstLine="548" w:firstLineChars="196"/>
        <w:textAlignment w:val="auto"/>
        <w:rPr>
          <w:rFonts w:hint="eastAsia" w:ascii="宋体" w:hAnsi="宋体" w:eastAsia="宋体" w:cs="宋体"/>
          <w:szCs w:val="28"/>
          <w:lang w:val="zh-CN"/>
        </w:rPr>
      </w:pPr>
      <w:r>
        <w:rPr>
          <w:rFonts w:hint="eastAsia" w:ascii="宋体" w:hAnsi="宋体" w:eastAsia="宋体" w:cs="宋体"/>
          <w:szCs w:val="28"/>
          <w:lang w:val="zh-CN"/>
        </w:rPr>
        <w:t>根据《危险化学品重大危险源辨识》GB18218-2018，以管道切断阀作为分隔界限，划分氨回收系统为生产单元，氨水储罐区划为储存单元。</w:t>
      </w:r>
      <w:r>
        <w:rPr>
          <w:rFonts w:hint="eastAsia" w:ascii="宋体" w:hAnsi="宋体" w:eastAsia="宋体" w:cs="宋体"/>
          <w:szCs w:val="28"/>
        </w:rPr>
        <w:t>该项目涉及的氨</w:t>
      </w:r>
      <w:r>
        <w:rPr>
          <w:rFonts w:hint="eastAsia" w:ascii="宋体" w:hAnsi="宋体" w:eastAsia="宋体" w:cs="宋体"/>
          <w:szCs w:val="28"/>
          <w:lang w:val="zh-CN"/>
        </w:rPr>
        <w:t>气、氢气属于危险化学品重大危险源辨识范畴内的物质，储存单元不涉及辨识范围内物质。</w:t>
      </w:r>
    </w:p>
    <w:p>
      <w:pPr>
        <w:pStyle w:val="12"/>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Cs w:val="28"/>
        </w:rPr>
      </w:pPr>
      <w:r>
        <w:rPr>
          <w:rFonts w:hint="eastAsia" w:ascii="宋体" w:hAnsi="宋体" w:eastAsia="宋体" w:cs="宋体"/>
          <w:sz w:val="28"/>
          <w:szCs w:val="28"/>
          <w:lang w:val="zh-CN"/>
        </w:rPr>
        <w:t>故该项目生产单元危险化学品重大危险源辨识过程见下表3.3-1。</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24"/>
        </w:rPr>
      </w:pPr>
      <w:r>
        <w:rPr>
          <w:rFonts w:hint="eastAsia" w:ascii="宋体" w:hAnsi="宋体" w:eastAsia="宋体" w:cs="宋体"/>
          <w:b/>
          <w:bCs/>
          <w:sz w:val="24"/>
        </w:rPr>
        <w:t>表3.3-1  危险化学品重大危险源辨识</w:t>
      </w:r>
    </w:p>
    <w:tbl>
      <w:tblPr>
        <w:tblStyle w:val="2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1256"/>
        <w:gridCol w:w="2019"/>
        <w:gridCol w:w="1241"/>
        <w:gridCol w:w="1183"/>
        <w:gridCol w:w="2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单元名称</w:t>
            </w:r>
          </w:p>
        </w:tc>
        <w:tc>
          <w:tcPr>
            <w:tcW w:w="676"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物质名称</w:t>
            </w:r>
          </w:p>
        </w:tc>
        <w:tc>
          <w:tcPr>
            <w:tcW w:w="1087"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辨识单元</w:t>
            </w:r>
          </w:p>
        </w:tc>
        <w:tc>
          <w:tcPr>
            <w:tcW w:w="668"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在线量(t)</w:t>
            </w:r>
          </w:p>
        </w:tc>
        <w:tc>
          <w:tcPr>
            <w:tcW w:w="637"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临界量(t)</w:t>
            </w:r>
          </w:p>
        </w:tc>
        <w:tc>
          <w:tcPr>
            <w:tcW w:w="1253"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辨识结果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pct"/>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生产单元</w:t>
            </w:r>
          </w:p>
        </w:tc>
        <w:tc>
          <w:tcPr>
            <w:tcW w:w="676"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氨气</w:t>
            </w:r>
          </w:p>
        </w:tc>
        <w:tc>
          <w:tcPr>
            <w:tcW w:w="1087" w:type="pct"/>
            <w:vAlign w:val="center"/>
          </w:tcPr>
          <w:p>
            <w:pPr>
              <w:adjustRightInd w:val="0"/>
              <w:snapToGrid w:val="0"/>
              <w:jc w:val="center"/>
              <w:rPr>
                <w:rFonts w:hint="eastAsia" w:ascii="宋体" w:hAnsi="宋体" w:eastAsia="宋体" w:cs="宋体"/>
                <w:kern w:val="0"/>
                <w:sz w:val="21"/>
                <w:szCs w:val="21"/>
              </w:rPr>
            </w:pPr>
            <w:r>
              <w:rPr>
                <w:rFonts w:hint="eastAsia" w:ascii="宋体" w:hAnsi="宋体" w:eastAsia="宋体" w:cs="宋体"/>
                <w:kern w:val="0"/>
                <w:sz w:val="21"/>
                <w:szCs w:val="21"/>
              </w:rPr>
              <w:t>生产单元（管道）</w:t>
            </w:r>
          </w:p>
        </w:tc>
        <w:tc>
          <w:tcPr>
            <w:tcW w:w="668"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0.01</w:t>
            </w:r>
          </w:p>
        </w:tc>
        <w:tc>
          <w:tcPr>
            <w:tcW w:w="637"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10</w:t>
            </w:r>
          </w:p>
        </w:tc>
        <w:tc>
          <w:tcPr>
            <w:tcW w:w="1253" w:type="pct"/>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∑qi/Qi＝0.0014＜1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6" w:type="pct"/>
            <w:vMerge w:val="continue"/>
            <w:vAlign w:val="center"/>
          </w:tcPr>
          <w:p>
            <w:pPr>
              <w:adjustRightInd w:val="0"/>
              <w:snapToGrid w:val="0"/>
              <w:jc w:val="center"/>
              <w:rPr>
                <w:rFonts w:hint="eastAsia" w:ascii="宋体" w:hAnsi="宋体" w:eastAsia="宋体" w:cs="宋体"/>
                <w:sz w:val="21"/>
                <w:szCs w:val="21"/>
              </w:rPr>
            </w:pPr>
          </w:p>
        </w:tc>
        <w:tc>
          <w:tcPr>
            <w:tcW w:w="676"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氢气</w:t>
            </w:r>
          </w:p>
        </w:tc>
        <w:tc>
          <w:tcPr>
            <w:tcW w:w="1087" w:type="pct"/>
            <w:vAlign w:val="center"/>
          </w:tcPr>
          <w:p>
            <w:pPr>
              <w:adjustRightInd w:val="0"/>
              <w:snapToGrid w:val="0"/>
              <w:jc w:val="center"/>
              <w:rPr>
                <w:rFonts w:hint="eastAsia" w:ascii="宋体" w:hAnsi="宋体" w:eastAsia="宋体" w:cs="宋体"/>
                <w:kern w:val="0"/>
                <w:sz w:val="21"/>
                <w:szCs w:val="21"/>
              </w:rPr>
            </w:pPr>
            <w:r>
              <w:rPr>
                <w:rFonts w:hint="eastAsia" w:ascii="宋体" w:hAnsi="宋体" w:eastAsia="宋体" w:cs="宋体"/>
                <w:kern w:val="0"/>
                <w:sz w:val="21"/>
                <w:szCs w:val="21"/>
              </w:rPr>
              <w:t>生产单元（管道）</w:t>
            </w:r>
          </w:p>
        </w:tc>
        <w:tc>
          <w:tcPr>
            <w:tcW w:w="668"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0.002</w:t>
            </w:r>
          </w:p>
        </w:tc>
        <w:tc>
          <w:tcPr>
            <w:tcW w:w="637" w:type="pc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5</w:t>
            </w:r>
          </w:p>
        </w:tc>
        <w:tc>
          <w:tcPr>
            <w:tcW w:w="1253" w:type="pct"/>
            <w:vMerge w:val="continue"/>
            <w:vAlign w:val="center"/>
          </w:tcPr>
          <w:p>
            <w:pPr>
              <w:adjustRightInd w:val="0"/>
              <w:snapToGrid w:val="0"/>
              <w:jc w:val="center"/>
              <w:rPr>
                <w:rFonts w:hint="eastAsia" w:ascii="宋体" w:hAnsi="宋体" w:eastAsia="宋体" w:cs="宋体"/>
                <w:sz w:val="21"/>
                <w:szCs w:val="21"/>
              </w:rPr>
            </w:pPr>
          </w:p>
        </w:tc>
      </w:tr>
    </w:tbl>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由表可知，该项目生产单元</w:t>
      </w:r>
      <w:bookmarkStart w:id="171" w:name="_Toc11884"/>
      <w:bookmarkStart w:id="172" w:name="_Toc534390397"/>
      <w:bookmarkStart w:id="173" w:name="_Toc12346"/>
      <w:bookmarkStart w:id="174" w:name="_Toc8983"/>
      <w:bookmarkStart w:id="175" w:name="_Toc3774"/>
      <w:r>
        <w:rPr>
          <w:rFonts w:hint="eastAsia" w:ascii="宋体" w:hAnsi="宋体" w:eastAsia="宋体" w:cs="宋体"/>
          <w:szCs w:val="28"/>
        </w:rPr>
        <w:t>∑qi/Qi= q1/Q1 ＋q2/Q2 +……+qn/Qn＜1</w:t>
      </w:r>
      <w:bookmarkEnd w:id="171"/>
      <w:bookmarkEnd w:id="172"/>
      <w:bookmarkEnd w:id="173"/>
      <w:bookmarkEnd w:id="174"/>
      <w:bookmarkEnd w:id="175"/>
      <w:r>
        <w:rPr>
          <w:rFonts w:hint="eastAsia" w:ascii="宋体" w:hAnsi="宋体" w:eastAsia="宋体" w:cs="宋体"/>
          <w:szCs w:val="28"/>
        </w:rPr>
        <w:t>，不构成危险化学品重大危险源。</w:t>
      </w:r>
    </w:p>
    <w:p>
      <w:pPr>
        <w:pStyle w:val="46"/>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color w:val="auto"/>
        </w:rPr>
      </w:pPr>
      <w:r>
        <w:rPr>
          <w:rFonts w:hint="eastAsia" w:ascii="宋体" w:hAnsi="宋体" w:eastAsia="宋体" w:cs="宋体"/>
          <w:b w:val="0"/>
          <w:bCs w:val="0"/>
          <w:color w:val="auto"/>
        </w:rPr>
        <w:t>3.2.3重大危险源辨识结果</w:t>
      </w:r>
    </w:p>
    <w:p>
      <w:pPr>
        <w:pStyle w:val="14"/>
        <w:pageBreakBefore w:val="0"/>
        <w:widowControl w:val="0"/>
        <w:kinsoku/>
        <w:wordWrap/>
        <w:overflowPunct/>
        <w:topLinePunct w:val="0"/>
        <w:autoSpaceDE/>
        <w:autoSpaceDN/>
        <w:bidi w:val="0"/>
        <w:adjustRightInd/>
        <w:snapToGrid/>
        <w:spacing w:line="600" w:lineRule="exact"/>
        <w:ind w:firstLine="700" w:firstLineChars="250"/>
        <w:textAlignment w:val="auto"/>
        <w:rPr>
          <w:rFonts w:hint="eastAsia" w:ascii="宋体" w:hAnsi="宋体" w:eastAsia="宋体" w:cs="宋体"/>
          <w:szCs w:val="28"/>
        </w:rPr>
      </w:pPr>
      <w:r>
        <w:rPr>
          <w:rFonts w:hint="eastAsia" w:ascii="宋体" w:hAnsi="宋体" w:eastAsia="宋体" w:cs="宋体"/>
          <w:szCs w:val="28"/>
        </w:rPr>
        <w:t>该企业氨回收系统不构成危险化学品重大危险源。</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176" w:name="_Toc525109150"/>
      <w:bookmarkStart w:id="177" w:name="_Toc2058"/>
      <w:bookmarkStart w:id="178" w:name="_Toc4541"/>
      <w:bookmarkStart w:id="179" w:name="_Toc31702"/>
      <w:bookmarkStart w:id="180" w:name="_Toc204429149"/>
      <w:bookmarkStart w:id="181" w:name="_Toc193531443"/>
      <w:r>
        <w:rPr>
          <w:rFonts w:hint="eastAsia" w:ascii="宋体" w:hAnsi="宋体" w:eastAsia="宋体" w:cs="宋体"/>
          <w:sz w:val="30"/>
          <w:szCs w:val="30"/>
        </w:rPr>
        <w:t>3.3危险化学品辨识</w:t>
      </w:r>
      <w:bookmarkEnd w:id="176"/>
      <w:bookmarkEnd w:id="177"/>
      <w:bookmarkEnd w:id="178"/>
      <w:bookmarkEnd w:id="179"/>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3.3.1监控化学品辨识</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bookmarkStart w:id="182" w:name="_Toc278143148"/>
      <w:r>
        <w:rPr>
          <w:rFonts w:hint="eastAsia" w:ascii="宋体" w:hAnsi="宋体" w:eastAsia="宋体" w:cs="宋体"/>
          <w:sz w:val="28"/>
          <w:szCs w:val="28"/>
        </w:rPr>
        <w:t>监控化学品，是指下列各类化学品：</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第一类：可作为化学武器的化学品；</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第二类：可作为生产化学武器前体的化学品；</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第三类：可作为生产化学武器主要原料的化学品；</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第四类：除炸药和纯碳氢化合物外的特定有机化学品。</w:t>
      </w:r>
    </w:p>
    <w:p>
      <w:pPr>
        <w:pStyle w:val="23"/>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依据国务院令第48号《中华人民共和国监控化学品管理条例》，该企业涉及的化学品中无监控化学品。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3.3.2易制毒、易制爆化学品辨识</w:t>
      </w:r>
      <w:bookmarkEnd w:id="182"/>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Cs w:val="28"/>
        </w:rPr>
      </w:pPr>
      <w:bookmarkStart w:id="183" w:name="_Toc278143149"/>
      <w:r>
        <w:rPr>
          <w:rFonts w:hint="eastAsia" w:ascii="宋体" w:hAnsi="宋体" w:eastAsia="宋体" w:cs="宋体"/>
          <w:szCs w:val="28"/>
        </w:rPr>
        <w:t>易制毒化学品是指国家规定管制的可用于制造毒品的前体、原料和化学助剂等物质。根据《易制毒化学品管理条例》国务院令703号，将易制毒化学品分为三类。第一类是可以用于制毒的主要原料，第二类、第三类是可以用于制毒的化学配剂。本项目不涉及易制毒化学品；根据中华人民共和国公安部《易制爆危险化学品名录》（2017年版）中规定，该企业不涉及易制爆危险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3.3.3高毒化学品辨识</w:t>
      </w:r>
      <w:bookmarkEnd w:id="183"/>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bookmarkStart w:id="184" w:name="_Toc278143150"/>
      <w:r>
        <w:rPr>
          <w:rFonts w:hint="eastAsia" w:ascii="宋体" w:hAnsi="宋体" w:eastAsia="宋体" w:cs="宋体"/>
          <w:szCs w:val="28"/>
          <w:lang w:val="zh-CN"/>
        </w:rPr>
        <w:t>根据《高毒物品目录》（卫法监发[2003]142号），本项目氨气</w:t>
      </w:r>
      <w:r>
        <w:rPr>
          <w:rFonts w:hint="eastAsia" w:ascii="宋体" w:hAnsi="宋体" w:eastAsia="宋体" w:cs="宋体"/>
          <w:szCs w:val="28"/>
        </w:rPr>
        <w:t>为高毒化学品</w:t>
      </w:r>
      <w:r>
        <w:rPr>
          <w:rFonts w:hint="eastAsia" w:ascii="宋体" w:hAnsi="宋体" w:eastAsia="宋体" w:cs="宋体"/>
          <w:szCs w:val="28"/>
          <w:lang w:val="zh-CN"/>
        </w:rPr>
        <w:t>。</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3.3.4剧毒化学品辨识</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根据《危险化学品目录》（2015年版）判定，该项目不涉及剧毒化学品。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3.3.5易制爆化学品辨识</w:t>
      </w:r>
      <w:bookmarkEnd w:id="184"/>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根据《易制爆危险化学品名录》（2017年版）的规定，本项目不涉及易制爆危险化学品。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3.3.6重点监管危险化学品辨识</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Cs w:val="28"/>
        </w:rPr>
      </w:pPr>
      <w:r>
        <w:rPr>
          <w:rFonts w:hint="eastAsia" w:ascii="宋体" w:hAnsi="宋体" w:eastAsia="宋体" w:cs="宋体"/>
          <w:szCs w:val="28"/>
        </w:rPr>
        <w:t>根据《首批重点监管的危险化学品名录》（安监总管三[2011]95号）、《第二批重点监管的危险化学品名录》（安监总管三[2013]12号）辨识，该氨回收系统废气涉及的氨气、氢气为重点监管的危险化学品。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bookmarkStart w:id="185" w:name="_Toc32516"/>
      <w:r>
        <w:rPr>
          <w:rFonts w:hint="eastAsia" w:ascii="宋体" w:hAnsi="宋体" w:eastAsia="宋体" w:cs="宋体"/>
          <w:b w:val="0"/>
          <w:szCs w:val="28"/>
          <w:lang w:val="zh-CN"/>
        </w:rPr>
        <w:t>3.</w:t>
      </w:r>
      <w:r>
        <w:rPr>
          <w:rFonts w:hint="eastAsia" w:ascii="宋体" w:hAnsi="宋体" w:eastAsia="宋体" w:cs="宋体"/>
          <w:b w:val="0"/>
          <w:szCs w:val="28"/>
        </w:rPr>
        <w:t>2.7特别管控化学品辨识</w:t>
      </w:r>
      <w:bookmarkEnd w:id="185"/>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Cs w:val="28"/>
        </w:rPr>
      </w:pPr>
      <w:r>
        <w:rPr>
          <w:rFonts w:hint="eastAsia" w:ascii="宋体" w:hAnsi="宋体" w:eastAsia="宋体" w:cs="宋体"/>
          <w:szCs w:val="28"/>
        </w:rPr>
        <w:t>根据</w:t>
      </w:r>
      <w:bookmarkStart w:id="186" w:name="_Hlk61215737"/>
      <w:r>
        <w:rPr>
          <w:rFonts w:hint="eastAsia" w:ascii="宋体" w:hAnsi="宋体" w:eastAsia="宋体" w:cs="宋体"/>
          <w:szCs w:val="28"/>
        </w:rPr>
        <w:t>《特别管控危险化学品目录（第一版）》</w:t>
      </w:r>
      <w:bookmarkEnd w:id="186"/>
      <w:r>
        <w:rPr>
          <w:rFonts w:hint="eastAsia" w:ascii="宋体" w:hAnsi="宋体" w:eastAsia="宋体" w:cs="宋体"/>
          <w:szCs w:val="28"/>
        </w:rPr>
        <w:t>的规定，本项目氨气为特别管控危险化学品。</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3.3.</w:t>
      </w:r>
      <w:r>
        <w:rPr>
          <w:rFonts w:hint="eastAsia" w:ascii="宋体" w:hAnsi="宋体" w:eastAsia="宋体" w:cs="宋体"/>
          <w:b w:val="0"/>
          <w:szCs w:val="28"/>
        </w:rPr>
        <w:t>8</w:t>
      </w:r>
      <w:r>
        <w:rPr>
          <w:rFonts w:hint="eastAsia" w:ascii="宋体" w:hAnsi="宋体" w:eastAsia="宋体" w:cs="宋体"/>
          <w:b w:val="0"/>
          <w:szCs w:val="28"/>
          <w:lang w:val="zh-CN"/>
        </w:rPr>
        <w:t>危险化工工艺辨识</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zh-CN"/>
        </w:rPr>
        <w:t>根据国家安全监管总局发出《关于公布首批重点监管的危险化工工艺目录的通知》（安监总管三〔2009〕116号）和《国家安全监管总局关于公布第二批重点监管危险化工工艺目录和调整首批重点监管危险化工工艺中部分典型工艺的通知》（安监总管三〔2013〕3号），本项目不涉及危险工艺。</w:t>
      </w:r>
    </w:p>
    <w:bookmarkEnd w:id="180"/>
    <w:bookmarkEnd w:id="181"/>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187" w:name="_Toc204429152"/>
      <w:bookmarkStart w:id="188" w:name="_Toc525109151"/>
      <w:bookmarkStart w:id="189" w:name="_Toc25391"/>
      <w:bookmarkStart w:id="190" w:name="_Toc11360"/>
      <w:bookmarkStart w:id="191" w:name="_Toc19464"/>
      <w:r>
        <w:rPr>
          <w:rFonts w:hint="eastAsia" w:ascii="宋体" w:hAnsi="宋体" w:eastAsia="宋体" w:cs="宋体"/>
          <w:sz w:val="30"/>
          <w:szCs w:val="30"/>
        </w:rPr>
        <w:t>3.</w:t>
      </w:r>
      <w:bookmarkEnd w:id="187"/>
      <w:r>
        <w:rPr>
          <w:rFonts w:hint="eastAsia" w:ascii="宋体" w:hAnsi="宋体" w:eastAsia="宋体" w:cs="宋体"/>
          <w:sz w:val="30"/>
          <w:szCs w:val="30"/>
        </w:rPr>
        <w:t>4工艺过程的危险因素分析</w:t>
      </w:r>
      <w:bookmarkEnd w:id="188"/>
      <w:bookmarkEnd w:id="189"/>
      <w:bookmarkEnd w:id="190"/>
      <w:bookmarkEnd w:id="191"/>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bookmarkStart w:id="192" w:name="_Toc199298654"/>
      <w:bookmarkStart w:id="193" w:name="_Toc212267289"/>
      <w:bookmarkStart w:id="194" w:name="_Toc269112985"/>
      <w:r>
        <w:rPr>
          <w:rFonts w:hint="eastAsia" w:ascii="宋体" w:hAnsi="宋体" w:eastAsia="宋体" w:cs="宋体"/>
          <w:szCs w:val="28"/>
          <w:lang w:val="zh-CN"/>
        </w:rPr>
        <w:t>按照《企业职工伤亡事故分类》GB6441-1986的规定，对本项目存在危险因素进行具体分析与辨识：</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bookmarkStart w:id="195" w:name="_Toc273260740"/>
      <w:r>
        <w:rPr>
          <w:rFonts w:hint="eastAsia" w:ascii="宋体" w:hAnsi="宋体" w:eastAsia="宋体" w:cs="宋体"/>
          <w:b w:val="0"/>
          <w:szCs w:val="28"/>
          <w:lang w:val="zh-CN"/>
        </w:rPr>
        <w:t>3.4.1 火灾、爆炸</w:t>
      </w:r>
      <w:bookmarkEnd w:id="192"/>
      <w:bookmarkEnd w:id="193"/>
      <w:bookmarkEnd w:id="194"/>
      <w:bookmarkEnd w:id="195"/>
      <w:r>
        <w:rPr>
          <w:rFonts w:hint="eastAsia" w:ascii="宋体" w:hAnsi="宋体" w:eastAsia="宋体" w:cs="宋体"/>
          <w:b w:val="0"/>
          <w:szCs w:val="28"/>
          <w:lang w:val="zh-CN"/>
        </w:rPr>
        <w:tab/>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bookmarkStart w:id="196" w:name="_Toc74619456"/>
      <w:r>
        <w:rPr>
          <w:rFonts w:hint="eastAsia" w:ascii="宋体" w:hAnsi="宋体" w:eastAsia="宋体" w:cs="宋体"/>
          <w:szCs w:val="28"/>
          <w:lang w:val="zh-CN"/>
        </w:rPr>
        <w:t>该工程涉及的氨气、氢气具有易燃、易爆的特性，遇火源能引发燃烧，发生火灾事故；其与空气形成爆炸性混合气并达到爆炸极限时，遇到火源会发生火灾、爆炸事故。管道中的氨气，因管理不到位或操作失误或其他原因造成氨气泄漏，而又未能及时发现，并遇到火源就有可能导致火灾、爆炸事故的发生。</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发生火灾、爆炸事故的三个必要条件是：可燃物、点火源、助燃物(空气或氧化剂)。引发火灾、爆炸事故的主要原因是</w:t>
      </w:r>
      <w:r>
        <w:rPr>
          <w:rFonts w:hint="eastAsia" w:ascii="宋体" w:hAnsi="宋体" w:eastAsia="宋体" w:cs="宋体"/>
          <w:szCs w:val="28"/>
        </w:rPr>
        <w:t>氨</w:t>
      </w:r>
      <w:r>
        <w:rPr>
          <w:rFonts w:hint="eastAsia" w:ascii="宋体" w:hAnsi="宋体" w:eastAsia="宋体" w:cs="宋体"/>
          <w:szCs w:val="28"/>
          <w:lang w:val="zh-CN"/>
        </w:rPr>
        <w:t xml:space="preserve">气泄漏及存在点火源。氨回收站发生火灾和爆炸的可能性有： </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1、泄漏</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1)泄漏因设备材质或质量不符合要求而造成腐蚀点，产生穿孔、破裂，导致爆裂从而泄漏；</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2)管道焊接处焊接质量差发生裂缝；</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3)管道阀门处连接不好；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4)机械密封损坏；</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rPr>
        <w:t>5</w:t>
      </w:r>
      <w:r>
        <w:rPr>
          <w:rFonts w:hint="eastAsia" w:ascii="宋体" w:hAnsi="宋体" w:eastAsia="宋体" w:cs="宋体"/>
          <w:szCs w:val="28"/>
          <w:lang w:val="zh-CN"/>
        </w:rPr>
        <w:t>)在运行过程中因静电或摩擦等引起燃烧爆炸。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rPr>
        <w:t>6</w:t>
      </w:r>
      <w:r>
        <w:rPr>
          <w:rFonts w:hint="eastAsia" w:ascii="宋体" w:hAnsi="宋体" w:eastAsia="宋体" w:cs="宋体"/>
          <w:szCs w:val="28"/>
          <w:lang w:val="zh-CN"/>
        </w:rPr>
        <w:t>)设备或管道因腐蚀、安装质量差、以及设备开停频繁、温度升降骤变等原因，极易引起设备、管道及其连接点、阀门、法兰等部位泄漏，造成着火爆炸。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2、点火源</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1)明火，包括检修动火、生活用火，违章吸烟，车辆尾气管排火等；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2)雷击和电气火花；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3)检修、操作用具产生的摩擦、撞击火花；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4)静电，包括液体流动产生的静电和人体静电；</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5)流散杂动能，如在防爆区使用手机等；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6)周围环境的散发火花。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7)在该企业域内存在火灾爆炸危险区，在生产过程中由于操作、设备故障、管线泄漏等原因造成易燃易爆物质的泄漏，且与空气形成爆炸性混合物，并同时遇“足够的点火能源”将发生火灾爆炸事故。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8)生产过程中，由于易燃气体在管道中流速过快，静电接地不良，造成静电积聚，当管线泄漏等因素将引起火灾、爆炸事故。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9)生产过程中，由于联系不畅、信号错误、操作失误、安全连锁装置失灵及检查不周，以及设备、管道缺陷等原因，使设备形成负压，空气进入设备或管道中，此时设备或管道中的可燃气体与空气混合，可形成爆炸性混合气体，在高温、摩擦、静电等能点火源的作用下，即可引起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10)防爆区域内的电气(含仪表、自控)设备、设施、线缆选用不符合环境的电气设备、设施、线缆，或安装、布置不符合要求，可能引发火灾、爆炸事故。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11)作业人员进入防爆区域穿化纤工作服等，均可能引发火灾、爆炸事故。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12)雷电和静电</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本项目存在雷击危险。雷击放电、雷击产生高温、产生的感应电是一个主要的点火源，尤其是球状雷，目前尚无有效的防范措施。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氨气在管线、设备中流动时均可能产生静电，人体本身也带有静电，而且静电潜伏性强，不易被人们察觉。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13)电气火花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生产区使用电气设备，由于带电设备不防爆或安装不合理，电接点接触不良、线路短路等将可能产生电火花。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电气引起的火灾很多。在易燃易爆物存在的场合，点火源越多，火灾危险性越大。</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14)撞击摩擦热</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主要是操作、检修过程使用的工具产生撞击火花。</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3、公用工程及辅助设施的影响</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1)生产过程中发生停电，仪控系统失效、可能引发火灾、爆炸事故。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2)安全设施失效，如安全阀不动作或泄放量不足，检测报警装置不灵敏，造成不能及时发现和消除故障或隐患，引发火灾、爆炸事故。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4、设备施工、检修过程的火灾、爆炸危险性分析</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1)质量缺陷或密封不良</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生产装置管道、机泵在制造、安装过程中可能存在质量缺陷，安装过程中焊接质量缺陷、法兰连接处密封垫及机械密封选型不当，在运行时造成设备、容器破坏。运行过程中材质和密封因物料腐蚀老化等，都可能造成物料的泄漏。</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2)检修时如需要动火，动火点距正在运行的装置较近，动火时易造成火灾、事故。在检修时车辆运输、设备吊装、安装等，可能碰坏正在运行的设备、管道，引起泄漏并引发火灾、爆炸事故。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3)单台或部分设备检修前未制定相应的方案，未进行相应的隔绝和置换合格，在检修过程中发生火灾、爆炸事故。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4)巡检人员或检修人员工具不按规定使用而造成高处落物损坏管道造成泄漏等；因管道标志不清检修时误拆管道。</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5)动火作业时未严格执行作业票证制度，未对设备进行清洗置换并分析合格进行动火作业。</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5、生产系统及辅助设施中的物理性爆炸危险因素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1)调压设施、阀门、安全附件不全或不可靠，工艺控制不好造成超压发生物理爆炸；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2)调压设施、阀门、安全附件的材质或安装质量不符合要求而产生穿孔、破裂，引起设备或管道局部抗压能力下降，导致引起物理爆炸。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3)调压设施、阀门、安全附件遭到外力损伤，例如：违章开挖管线、自然灾害等，引起设备或管道局部抗压能力下降，导致引起物理爆炸。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rPr>
        <w:t>6、</w:t>
      </w:r>
      <w:r>
        <w:rPr>
          <w:rFonts w:hint="eastAsia" w:ascii="宋体" w:hAnsi="宋体" w:eastAsia="宋体" w:cs="宋体"/>
          <w:szCs w:val="28"/>
          <w:lang w:val="zh-CN"/>
        </w:rPr>
        <w:t>生产系统及辅助设施中电气火灾危险因素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本项目输配系统及辅助设施中使用电气设备、设施，包括变配电、电气设备，同时使用电缆、电线，这些电气设施可能因负荷过载、短路、漏电、绝缘老化、感应雷、小动物侵入、防护等级不足、接地接零故障、蓄热等引起火灾、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杜绝生产场所的点火源是防止事故发生的一项重要措施。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rPr>
        <w:t>7</w:t>
      </w:r>
      <w:r>
        <w:rPr>
          <w:rFonts w:hint="eastAsia" w:ascii="宋体" w:hAnsi="宋体" w:eastAsia="宋体" w:cs="宋体"/>
          <w:szCs w:val="28"/>
          <w:lang w:val="zh-CN"/>
        </w:rPr>
        <w:t>、容器爆炸</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1)氨水储罐因罐体设备材质或质量不符合要求而产生穿孔、破裂。储罐充装过量，引发储罐爆裂。</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2)管道材质或质量不符合要求而产生穿孔、破裂，导致管道局部抗压能力下降，管道破裂；</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rPr>
        <w:t>3</w:t>
      </w:r>
      <w:r>
        <w:rPr>
          <w:rFonts w:hint="eastAsia" w:ascii="宋体" w:hAnsi="宋体" w:eastAsia="宋体" w:cs="宋体"/>
          <w:szCs w:val="28"/>
          <w:lang w:val="zh-CN"/>
        </w:rPr>
        <w:t>)操作人员对出现的设备或工艺故障未及时发现或采取的措施不当等。液体排液、放空或取样时，若阀门开度过大，容易产生静电或引起着火事故。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4)循环泵、板式换热器出现故障</w:t>
      </w:r>
      <w:r>
        <w:rPr>
          <w:rFonts w:hint="eastAsia" w:ascii="宋体" w:hAnsi="宋体" w:eastAsia="宋体" w:cs="宋体"/>
          <w:szCs w:val="28"/>
          <w:lang w:val="zh-CN"/>
        </w:rPr>
        <w:t>未及时发现或采取的措施不当等。</w:t>
      </w:r>
    </w:p>
    <w:bookmarkEnd w:id="196"/>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bookmarkStart w:id="197" w:name="_Toc273260741"/>
      <w:bookmarkStart w:id="198" w:name="_Toc269112987"/>
      <w:r>
        <w:rPr>
          <w:rFonts w:hint="eastAsia" w:ascii="宋体" w:hAnsi="宋体" w:eastAsia="宋体" w:cs="宋体"/>
          <w:b w:val="0"/>
          <w:szCs w:val="28"/>
          <w:lang w:val="zh-CN"/>
        </w:rPr>
        <w:t>3.4.2 触电</w:t>
      </w:r>
      <w:bookmarkEnd w:id="197"/>
      <w:bookmarkEnd w:id="198"/>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该项目电气布线及用电设备较多，用电设备设施如出现故障、绝缘损坏、操作人员违章操作、误操作或者设备本身的设计缺陷等原因，均可造成触电事故的发生，引发人身伤害事故，甚至引发火灾、爆炸事故。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产生触电的原因有：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1)安全管理不到位，管理制度不完善，没有必要的安全组织措施等，如出现违章作业、误操作、设备检修不及时或没有必要的检修维护等；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2)电气设备设计不合理，如安装缺陷、防爆等级不匹配、没有必要的安全保护措施等，如没有保护接地、接零、漏电保护、等电位连接等；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3)电气设备运行过程中出现故障，如短路、漏电、过载、散热不良等；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4)防雷设施设计不合理、或存在缺陷、或防雷装置失效等。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5)人体接触高、低压电源会造成触电伤害，雷击也可能产生类似后果。该项目建有变、配电室，以保证各类设备运行、照明的需要。如果开关等电气材料本身存有缺陷，或设备保护接地失效，操作失误，思想麻痹，个人防护缺陷，操作电气开关不当，或非专业人员违章操作等，易发生人员触电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6)非电气人员进行电气作业，电气设备标识不明等，可能发生触电事故或带负荷拉闸引起电弧烧伤，并可能引起二次事故。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7)从安全角度考虑，电气事故主要包括由电流、电磁场和某些电路故障等直接或间接造成的人员伤亡、设备损坏以及引起火灾事故等。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8)触电事故的种类有：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(1)人直接与带电体接触；</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(2)与绝缘损坏的电气设备接触；</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(3)与带电体的距离小于安全距离；</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(4)跨步电压触电。</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9)该项目使用的电气设备有电机、变配电设备、动力和照明线路、照明电器、消防设备等，在工作过程中，由于作业人员不能按照电气工作安全操作规程进行操作或缺乏安全用电常识，以及设备本身故障等原因，均可能造成危险事故的发生。</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bookmarkStart w:id="199" w:name="_Toc273260742"/>
      <w:bookmarkStart w:id="200" w:name="_Toc269112988"/>
      <w:r>
        <w:rPr>
          <w:rFonts w:hint="eastAsia" w:ascii="宋体" w:hAnsi="宋体" w:eastAsia="宋体" w:cs="宋体"/>
          <w:b w:val="0"/>
          <w:szCs w:val="28"/>
          <w:lang w:val="zh-CN"/>
        </w:rPr>
        <w:t>3.4.3机械伤害</w:t>
      </w:r>
      <w:bookmarkEnd w:id="199"/>
      <w:bookmarkEnd w:id="200"/>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机械伤害是指机械设备的运动部件直接与人体接触所造成的伤害。</w:t>
      </w:r>
      <w:bookmarkStart w:id="201" w:name="_Toc210187332"/>
      <w:bookmarkStart w:id="202" w:name="_Toc379079771"/>
      <w:r>
        <w:rPr>
          <w:rFonts w:hint="eastAsia" w:ascii="宋体" w:hAnsi="宋体" w:eastAsia="宋体" w:cs="宋体"/>
          <w:szCs w:val="28"/>
          <w:lang w:val="zh-CN"/>
        </w:rPr>
        <w:t>在集气过程中使用的循环泵等机械设备，如果防护装置缺乏或损坏会造成机械伤害；在检修、抢修作业时，维修用机具安全设施失效，操作失误等，可能引起机械伤害。</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bookmarkStart w:id="203" w:name="_Toc273260743"/>
      <w:bookmarkStart w:id="204" w:name="_Toc269112989"/>
      <w:r>
        <w:rPr>
          <w:rFonts w:hint="eastAsia" w:ascii="宋体" w:hAnsi="宋体" w:eastAsia="宋体" w:cs="宋体"/>
          <w:b w:val="0"/>
          <w:szCs w:val="28"/>
          <w:lang w:val="zh-CN"/>
        </w:rPr>
        <w:t>3.4.4 车辆伤害</w:t>
      </w:r>
      <w:bookmarkEnd w:id="201"/>
      <w:bookmarkEnd w:id="202"/>
      <w:bookmarkEnd w:id="203"/>
      <w:bookmarkEnd w:id="204"/>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bookmarkStart w:id="205" w:name="_Toc273260744"/>
      <w:bookmarkStart w:id="206" w:name="_Toc269112990"/>
      <w:r>
        <w:rPr>
          <w:rFonts w:hint="eastAsia" w:ascii="宋体" w:hAnsi="宋体" w:eastAsia="宋体" w:cs="宋体"/>
          <w:szCs w:val="28"/>
          <w:lang w:val="zh-CN"/>
        </w:rPr>
        <w:t>车辆伤害指企业机动车辆在行驶中引起的人体坠落和物体倒塌、飞落、挤压伤亡事故，不包括起重设备提升、牵引车辆和车辆停驶时发生的事故。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该项目的</w:t>
      </w:r>
      <w:r>
        <w:rPr>
          <w:rFonts w:hint="eastAsia" w:ascii="宋体" w:hAnsi="宋体" w:eastAsia="宋体" w:cs="宋体"/>
          <w:szCs w:val="28"/>
        </w:rPr>
        <w:t>氨水</w:t>
      </w:r>
      <w:r>
        <w:rPr>
          <w:rFonts w:hint="eastAsia" w:ascii="宋体" w:hAnsi="宋体" w:eastAsia="宋体" w:cs="宋体"/>
          <w:szCs w:val="28"/>
          <w:lang w:val="zh-CN"/>
        </w:rPr>
        <w:t>的装卸、运输需要使用车辆。由于</w:t>
      </w:r>
      <w:r>
        <w:rPr>
          <w:rFonts w:hint="eastAsia" w:ascii="宋体" w:hAnsi="宋体" w:eastAsia="宋体" w:cs="宋体"/>
          <w:szCs w:val="28"/>
        </w:rPr>
        <w:t>厂内</w:t>
      </w:r>
      <w:r>
        <w:rPr>
          <w:rFonts w:hint="eastAsia" w:ascii="宋体" w:hAnsi="宋体" w:eastAsia="宋体" w:cs="宋体"/>
          <w:szCs w:val="28"/>
          <w:lang w:val="zh-CN"/>
        </w:rPr>
        <w:t>道路、车辆的装卸和驾驶，可因道路参数、视线不良、缺少行车安全警示标志及车辆或驾驶员的管理等方面的缺陷均可能引发车辆伤害事故。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该企业如汽车运输来往频繁，如果没有限速标志和道路指示，有可能因车辆违章搭人、装运物资不当影响驾驶人员视线、驾驶人员违章作业或道路过窄过陡等也可能造成车辆行车事故和人员伤害。还可能因违章，车辆失控撞击生产设施造成重大恶性事故等。</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3.4.5 中毒和窒息</w:t>
      </w:r>
      <w:bookmarkEnd w:id="205"/>
      <w:bookmarkEnd w:id="206"/>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中毒是物体进入机体，与机体组织发生生物化学或生物物理学变化，干扰或破坏机体的正常生理功能，引起暂时性或永久性的病理状态，甚至危及生命的过程。</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kern w:val="0"/>
          <w:szCs w:val="28"/>
        </w:rPr>
      </w:pPr>
      <w:bookmarkStart w:id="207" w:name="_Toc191983555"/>
      <w:bookmarkStart w:id="208" w:name="_Toc273260745"/>
      <w:bookmarkStart w:id="209" w:name="_Toc269112991"/>
      <w:r>
        <w:rPr>
          <w:rFonts w:hint="eastAsia" w:ascii="宋体" w:hAnsi="宋体" w:eastAsia="宋体" w:cs="宋体"/>
          <w:kern w:val="0"/>
          <w:szCs w:val="28"/>
        </w:rPr>
        <w:t>氨为有毒、有刺激性和恶臭味的气体，易造成急性中毒和灼伤，每立方米空气中最高允许浓度为30mg/m</w:t>
      </w:r>
      <w:r>
        <w:rPr>
          <w:rFonts w:hint="eastAsia" w:ascii="宋体" w:hAnsi="宋体" w:eastAsia="宋体" w:cs="宋体"/>
          <w:kern w:val="0"/>
          <w:szCs w:val="28"/>
          <w:vertAlign w:val="superscript"/>
        </w:rPr>
        <w:t>3</w:t>
      </w:r>
      <w:r>
        <w:rPr>
          <w:rFonts w:hint="eastAsia" w:ascii="宋体" w:hAnsi="宋体" w:eastAsia="宋体" w:cs="宋体"/>
          <w:kern w:val="0"/>
          <w:szCs w:val="28"/>
        </w:rPr>
        <w:t>，当空气中氨的含量达到0.5-0.6%，30分钟内即可造成人员中毒。氨主要对上呼吸道有刺激和腐蚀作用。短时间内吸入高浓度氨气或直接接触液氨，引起眼和上呼吸道刺激症状，轻者有流泪、视物模糊、咽干、咽痛、咳嗽及轻度头痛、头晕、乏力等；较重者表现为咽部烧灼感、呼吸困难，眼结膜、咽部明显充血、水肿，甚至产生喉头水肿；严重者可引起化学性肺炎或肺泡性肺水肿，表现为剧烈咳嗽，咳出大量粉红色泡沫痰。氨水污染皮肤或溅入眼内，可造成皮肤的灼伤和角膜溃疡等。</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3.4.6 高处坠落</w:t>
      </w:r>
      <w:bookmarkEnd w:id="207"/>
      <w:bookmarkEnd w:id="208"/>
      <w:bookmarkEnd w:id="209"/>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bookmarkStart w:id="210" w:name="_Toc231986622"/>
      <w:bookmarkStart w:id="211" w:name="_Toc273260746"/>
      <w:bookmarkStart w:id="212" w:name="_Toc219559462"/>
      <w:bookmarkStart w:id="213" w:name="_Toc237873198"/>
      <w:bookmarkStart w:id="214" w:name="_Toc238875753"/>
      <w:bookmarkStart w:id="215" w:name="_Toc233793148"/>
      <w:bookmarkStart w:id="216" w:name="_Toc231608334"/>
      <w:bookmarkStart w:id="217" w:name="_Toc226003612"/>
      <w:bookmarkStart w:id="218" w:name="_Toc223145327"/>
      <w:r>
        <w:rPr>
          <w:rFonts w:hint="eastAsia" w:ascii="宋体" w:hAnsi="宋体" w:eastAsia="宋体" w:cs="宋体"/>
          <w:szCs w:val="28"/>
          <w:lang w:val="zh-CN"/>
        </w:rPr>
        <w:t>本工程设有储罐，在正常生产巡查和设备维修时，如防护不当、麻痹大意、在强自然风力作用下或冰冻期间，可能发生高处作业人员的坠落或坠物伤害事故。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检修时使用工具飞出；高处作业时，工具及材料使用放置不当；作业场所物质设备吊运中人员暴露在危险区域等，可造成高空落物伤人及损坏设备事故。</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rPr>
        <w:t>3.4.7</w:t>
      </w:r>
      <w:r>
        <w:rPr>
          <w:rFonts w:hint="eastAsia" w:ascii="宋体" w:hAnsi="宋体" w:eastAsia="宋体" w:cs="宋体"/>
          <w:b w:val="0"/>
          <w:szCs w:val="28"/>
          <w:lang w:val="zh-CN"/>
        </w:rPr>
        <w:t>灼烫</w:t>
      </w:r>
    </w:p>
    <w:p>
      <w:pPr>
        <w:pageBreakBefore w:val="0"/>
        <w:widowControl w:val="0"/>
        <w:kinsoku/>
        <w:wordWrap/>
        <w:overflowPunct/>
        <w:topLinePunct w:val="0"/>
        <w:autoSpaceDE/>
        <w:autoSpaceDN/>
        <w:bidi w:val="0"/>
        <w:adjustRightInd/>
        <w:snapToGrid/>
        <w:spacing w:line="600" w:lineRule="exact"/>
        <w:ind w:firstLine="560"/>
        <w:textAlignment w:val="auto"/>
        <w:rPr>
          <w:rFonts w:hint="eastAsia" w:ascii="宋体" w:hAnsi="宋体" w:eastAsia="宋体" w:cs="宋体"/>
        </w:rPr>
      </w:pPr>
      <w:r>
        <w:rPr>
          <w:rFonts w:hint="eastAsia" w:ascii="宋体" w:hAnsi="宋体" w:eastAsia="宋体" w:cs="宋体"/>
        </w:rPr>
        <w:t>项目涉及的</w:t>
      </w:r>
      <w:r>
        <w:rPr>
          <w:rFonts w:hint="eastAsia" w:ascii="宋体" w:hAnsi="宋体" w:eastAsia="宋体" w:cs="宋体"/>
          <w:szCs w:val="21"/>
        </w:rPr>
        <w:t>氨水、氨气物质</w:t>
      </w:r>
      <w:r>
        <w:rPr>
          <w:rFonts w:hint="eastAsia" w:ascii="宋体" w:hAnsi="宋体" w:eastAsia="宋体" w:cs="宋体"/>
        </w:rPr>
        <w:t>对人体皮肤有一定的腐蚀或刺激作用，可能会造成人员化学灼伤。因此，如果发生设备的跑、冒、泄漏、喷洒、容器管道破裂等均可导致人体表面急性化学灼伤或人身伤亡事故。</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3.4.</w:t>
      </w:r>
      <w:r>
        <w:rPr>
          <w:rFonts w:hint="eastAsia" w:ascii="宋体" w:hAnsi="宋体" w:eastAsia="宋体" w:cs="宋体"/>
          <w:b w:val="0"/>
          <w:szCs w:val="28"/>
        </w:rPr>
        <w:t>8</w:t>
      </w:r>
      <w:r>
        <w:rPr>
          <w:rFonts w:hint="eastAsia" w:ascii="宋体" w:hAnsi="宋体" w:eastAsia="宋体" w:cs="宋体"/>
          <w:b w:val="0"/>
          <w:szCs w:val="28"/>
          <w:lang w:val="zh-CN"/>
        </w:rPr>
        <w:t>坍塌</w:t>
      </w:r>
    </w:p>
    <w:p>
      <w:pPr>
        <w:pageBreakBefore w:val="0"/>
        <w:widowControl w:val="0"/>
        <w:kinsoku/>
        <w:wordWrap/>
        <w:overflowPunct/>
        <w:topLinePunct w:val="0"/>
        <w:autoSpaceDE/>
        <w:autoSpaceDN/>
        <w:bidi w:val="0"/>
        <w:adjustRightInd/>
        <w:snapToGrid/>
        <w:spacing w:line="600" w:lineRule="exact"/>
        <w:ind w:firstLine="560"/>
        <w:textAlignment w:val="auto"/>
        <w:rPr>
          <w:rFonts w:hint="eastAsia" w:ascii="宋体" w:hAnsi="宋体" w:eastAsia="宋体" w:cs="宋体"/>
          <w:szCs w:val="28"/>
          <w:lang w:val="zh-CN"/>
        </w:rPr>
      </w:pPr>
      <w:r>
        <w:rPr>
          <w:rFonts w:hint="eastAsia" w:ascii="宋体" w:hAnsi="宋体" w:eastAsia="宋体" w:cs="宋体"/>
        </w:rPr>
        <w:t>项目建构筑物、作业平台、设备设施等由于建筑施工质量问题或因为腐蚀等造成建构筑物、平台等坍塌，可能造成人员伤亡事故。</w:t>
      </w:r>
      <w:bookmarkEnd w:id="210"/>
      <w:bookmarkEnd w:id="211"/>
      <w:bookmarkEnd w:id="212"/>
      <w:bookmarkEnd w:id="213"/>
      <w:bookmarkEnd w:id="214"/>
      <w:bookmarkEnd w:id="215"/>
      <w:bookmarkEnd w:id="216"/>
      <w:bookmarkEnd w:id="217"/>
      <w:bookmarkEnd w:id="218"/>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3.4.</w:t>
      </w:r>
      <w:r>
        <w:rPr>
          <w:rFonts w:hint="eastAsia" w:ascii="宋体" w:hAnsi="宋体" w:eastAsia="宋体" w:cs="宋体"/>
          <w:b w:val="0"/>
          <w:szCs w:val="28"/>
        </w:rPr>
        <w:t>9</w:t>
      </w:r>
      <w:r>
        <w:rPr>
          <w:rFonts w:hint="eastAsia" w:ascii="宋体" w:hAnsi="宋体" w:eastAsia="宋体" w:cs="宋体"/>
          <w:b w:val="0"/>
          <w:szCs w:val="28"/>
          <w:lang w:val="zh-CN"/>
        </w:rPr>
        <w:t>其他</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zh-CN"/>
        </w:rPr>
      </w:pPr>
      <w:r>
        <w:rPr>
          <w:rFonts w:hint="eastAsia" w:ascii="宋体" w:hAnsi="宋体" w:eastAsia="宋体" w:cs="宋体"/>
          <w:szCs w:val="28"/>
          <w:lang w:val="zh-CN"/>
        </w:rPr>
        <w:t>本项目在生产、检修过程中可能存在因环境不良、注意力不集中等原因造成的滑跌、绊倒、碰撞等，造成人员伤害。</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19" w:name="_Toc327710566"/>
      <w:bookmarkStart w:id="220" w:name="_Toc8747"/>
      <w:bookmarkStart w:id="221" w:name="_Toc525109152"/>
      <w:bookmarkStart w:id="222" w:name="_Toc30074"/>
      <w:bookmarkStart w:id="223" w:name="_Toc342424378"/>
      <w:bookmarkStart w:id="224" w:name="_Toc313574243"/>
      <w:bookmarkStart w:id="225" w:name="_Toc274377395"/>
      <w:bookmarkStart w:id="226" w:name="_Toc22731"/>
      <w:bookmarkStart w:id="227" w:name="_Toc1357"/>
      <w:bookmarkStart w:id="228" w:name="_Toc12519"/>
      <w:r>
        <w:rPr>
          <w:rFonts w:hint="eastAsia" w:ascii="宋体" w:hAnsi="宋体" w:eastAsia="宋体" w:cs="宋体"/>
          <w:sz w:val="30"/>
          <w:szCs w:val="30"/>
        </w:rPr>
        <w:t>3.5主要设备、设施危险性分析</w:t>
      </w:r>
      <w:bookmarkEnd w:id="219"/>
      <w:bookmarkEnd w:id="220"/>
      <w:bookmarkEnd w:id="221"/>
      <w:bookmarkEnd w:id="222"/>
      <w:bookmarkEnd w:id="223"/>
      <w:bookmarkEnd w:id="224"/>
      <w:bookmarkEnd w:id="225"/>
      <w:bookmarkEnd w:id="226"/>
      <w:bookmarkEnd w:id="227"/>
      <w:bookmarkEnd w:id="228"/>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一、氨水储罐</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szCs w:val="21"/>
        </w:rPr>
        <w:t>存在超装、超压、</w:t>
      </w:r>
      <w:r>
        <w:rPr>
          <w:rFonts w:hint="eastAsia" w:ascii="宋体" w:hAnsi="宋体" w:eastAsia="宋体" w:cs="宋体"/>
        </w:rPr>
        <w:t>密封性差、安全附件不齐、低温、高温、</w:t>
      </w:r>
      <w:r>
        <w:rPr>
          <w:rFonts w:hint="eastAsia" w:ascii="宋体" w:hAnsi="宋体" w:eastAsia="宋体" w:cs="宋体"/>
          <w:szCs w:val="21"/>
        </w:rPr>
        <w:t>穿孔、破裂、泄漏、火灾、爆炸、窒息、中毒的</w:t>
      </w:r>
      <w:r>
        <w:rPr>
          <w:rFonts w:hint="eastAsia" w:ascii="宋体" w:hAnsi="宋体" w:eastAsia="宋体" w:cs="宋体"/>
        </w:rPr>
        <w:t>危险、有害因素。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1"/>
          <w:lang w:val="zh-CN"/>
        </w:rPr>
      </w:pPr>
      <w:bookmarkStart w:id="229" w:name="_Toc18461_WPSOffice_Level3"/>
      <w:bookmarkStart w:id="230" w:name="_Toc11160"/>
      <w:bookmarkStart w:id="231" w:name="_Toc525109153"/>
      <w:bookmarkStart w:id="232" w:name="_Toc204429172"/>
      <w:r>
        <w:rPr>
          <w:rFonts w:hint="eastAsia" w:ascii="宋体" w:hAnsi="宋体" w:eastAsia="宋体" w:cs="宋体"/>
          <w:szCs w:val="21"/>
        </w:rPr>
        <w:t>二</w:t>
      </w:r>
      <w:r>
        <w:rPr>
          <w:rFonts w:hint="eastAsia" w:ascii="宋体" w:hAnsi="宋体" w:eastAsia="宋体" w:cs="宋体"/>
          <w:szCs w:val="21"/>
          <w:lang w:val="zh-CN"/>
        </w:rPr>
        <w:t>、</w:t>
      </w:r>
      <w:bookmarkEnd w:id="229"/>
      <w:r>
        <w:rPr>
          <w:rFonts w:hint="eastAsia" w:ascii="宋体" w:hAnsi="宋体" w:eastAsia="宋体" w:cs="宋体"/>
          <w:szCs w:val="21"/>
          <w:lang w:val="zh-CN"/>
        </w:rPr>
        <w:t>循环泵</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1"/>
          <w:lang w:val="zh-CN"/>
        </w:rPr>
      </w:pPr>
      <w:r>
        <w:rPr>
          <w:rFonts w:hint="eastAsia" w:ascii="宋体" w:hAnsi="宋体" w:eastAsia="宋体" w:cs="宋体"/>
          <w:szCs w:val="21"/>
          <w:lang w:val="zh-CN"/>
        </w:rPr>
        <w:t>本项目设备中涉及有各种循环泵等，这些设备的危险性有：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szCs w:val="21"/>
          <w:lang w:val="zh-CN"/>
        </w:rPr>
        <w:t>设备选材不当、设计不合理等设备本身质量不合格会使设备不能承受工作压力发生容器爆炸事故。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1"/>
          <w:lang w:val="zh-CN"/>
        </w:rPr>
      </w:pPr>
      <w:r>
        <w:rPr>
          <w:rFonts w:hint="eastAsia" w:ascii="宋体" w:hAnsi="宋体" w:eastAsia="宋体" w:cs="宋体"/>
          <w:szCs w:val="21"/>
          <w:lang w:val="zh-CN"/>
        </w:rPr>
        <w:t>2)设备超期未检修检测，带病运行或因操作失误等原因引起超压会因设备承受不了正常的工作压力而导致发生物理爆炸事故。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1"/>
          <w:lang w:val="zh-CN"/>
        </w:rPr>
      </w:pPr>
      <w:r>
        <w:rPr>
          <w:rFonts w:hint="eastAsia" w:ascii="宋体" w:hAnsi="宋体" w:eastAsia="宋体" w:cs="宋体"/>
          <w:szCs w:val="21"/>
          <w:lang w:val="zh-CN"/>
        </w:rPr>
        <w:t>3)因这些设备内部的介质存在有毒有害介质，设备因腐蚀、人员误操作等原因导致泄漏会引起人员中毒。另外氨水储罐的仪表如果选型不当、插入深度不当，有可能反映不出真实数据而造成溢料、喷料、超温、导致中毒、灼伤、火灾爆炸等事故发生。</w:t>
      </w:r>
    </w:p>
    <w:p>
      <w:pPr>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bCs/>
          <w:szCs w:val="28"/>
          <w:lang w:val="zh-CN"/>
        </w:rPr>
      </w:pPr>
      <w:r>
        <w:rPr>
          <w:rFonts w:hint="eastAsia" w:ascii="宋体" w:hAnsi="宋体" w:eastAsia="宋体" w:cs="宋体"/>
          <w:szCs w:val="28"/>
        </w:rPr>
        <w:t xml:space="preserve">    </w:t>
      </w:r>
      <w:bookmarkStart w:id="233" w:name="_Toc26253_WPSOffice_Level3"/>
      <w:r>
        <w:rPr>
          <w:rFonts w:hint="eastAsia" w:ascii="宋体" w:hAnsi="宋体" w:eastAsia="宋体" w:cs="宋体"/>
          <w:b/>
          <w:bCs/>
          <w:szCs w:val="28"/>
          <w:lang w:val="zh-CN"/>
        </w:rPr>
        <w:t>三、</w:t>
      </w:r>
      <w:bookmarkStart w:id="234" w:name="_Toc240195067"/>
      <w:r>
        <w:rPr>
          <w:rFonts w:hint="eastAsia" w:ascii="宋体" w:hAnsi="宋体" w:eastAsia="宋体" w:cs="宋体"/>
          <w:b/>
          <w:bCs/>
          <w:szCs w:val="28"/>
          <w:lang w:val="zh-CN"/>
        </w:rPr>
        <w:t>机泵</w:t>
      </w:r>
      <w:bookmarkEnd w:id="233"/>
      <w:bookmarkEnd w:id="234"/>
    </w:p>
    <w:p>
      <w:pPr>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Cs w:val="28"/>
          <w:lang w:val="zh-CN"/>
        </w:rPr>
      </w:pPr>
      <w:r>
        <w:rPr>
          <w:rFonts w:hint="eastAsia" w:ascii="宋体" w:hAnsi="宋体" w:eastAsia="宋体" w:cs="宋体"/>
          <w:szCs w:val="28"/>
        </w:rPr>
        <w:t xml:space="preserve">    </w:t>
      </w:r>
      <w:r>
        <w:rPr>
          <w:rFonts w:hint="eastAsia" w:ascii="宋体" w:hAnsi="宋体" w:eastAsia="宋体" w:cs="宋体"/>
          <w:szCs w:val="28"/>
          <w:lang w:val="zh-CN"/>
        </w:rPr>
        <w:t>1)安全设施不足，联轴器等欠缺防护罩，可能引发机械伤害事故。</w:t>
      </w:r>
    </w:p>
    <w:p>
      <w:pPr>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Cs w:val="28"/>
          <w:lang w:val="zh-CN"/>
        </w:rPr>
      </w:pPr>
      <w:r>
        <w:rPr>
          <w:rFonts w:hint="eastAsia" w:ascii="宋体" w:hAnsi="宋体" w:eastAsia="宋体" w:cs="宋体"/>
          <w:szCs w:val="28"/>
        </w:rPr>
        <w:t xml:space="preserve">    </w:t>
      </w:r>
      <w:r>
        <w:rPr>
          <w:rFonts w:hint="eastAsia" w:ascii="宋体" w:hAnsi="宋体" w:eastAsia="宋体" w:cs="宋体"/>
          <w:szCs w:val="28"/>
          <w:lang w:val="zh-CN"/>
        </w:rPr>
        <w:t>2)设备本身设计制造不良，安装施工不当或欠缺维护保养等因素可能导致密封失效、从而发生泵体爆裂、介质泄漏、防爆性能降低等，并可能引发二次事故。</w:t>
      </w:r>
    </w:p>
    <w:p>
      <w:pPr>
        <w:pageBreakBefore w:val="0"/>
        <w:widowControl w:val="0"/>
        <w:kinsoku/>
        <w:wordWrap/>
        <w:overflowPunct/>
        <w:topLinePunct w:val="0"/>
        <w:autoSpaceDE/>
        <w:autoSpaceDN/>
        <w:bidi w:val="0"/>
        <w:adjustRightInd/>
        <w:snapToGrid/>
        <w:spacing w:line="600" w:lineRule="exact"/>
        <w:ind w:firstLine="560"/>
        <w:textAlignment w:val="auto"/>
        <w:rPr>
          <w:rFonts w:hint="eastAsia" w:ascii="宋体" w:hAnsi="宋体" w:eastAsia="宋体" w:cs="宋体"/>
          <w:szCs w:val="28"/>
          <w:lang w:val="zh-CN"/>
        </w:rPr>
      </w:pPr>
      <w:r>
        <w:rPr>
          <w:rFonts w:hint="eastAsia" w:ascii="宋体" w:hAnsi="宋体" w:eastAsia="宋体" w:cs="宋体"/>
          <w:szCs w:val="28"/>
          <w:lang w:val="zh-CN"/>
        </w:rPr>
        <w:t>3)通常阀门、法兰，泵密封部位等可能因安装质量，或垫片选型安装错误，或因交变温度使垫片松动等原因引致动、静密封失效泄漏,一旦发生泄漏，遇明火或高温表面，可引发火灾、爆炸等事故。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四、有限空间作业的危险性分析</w:t>
      </w:r>
      <w:r>
        <w:rPr>
          <w:rFonts w:hint="eastAsia" w:ascii="宋体" w:hAnsi="宋体" w:eastAsia="宋体" w:cs="宋体"/>
        </w:rPr>
        <w:tab/>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8"/>
        </w:rPr>
      </w:pPr>
      <w:r>
        <w:rPr>
          <w:rFonts w:hint="eastAsia" w:ascii="宋体" w:hAnsi="宋体" w:eastAsia="宋体" w:cs="宋体"/>
          <w:kern w:val="28"/>
        </w:rPr>
        <w:t>1）凡是进入氨水储罐或其他闭塞场所内进行检修作业都称为有限空间作业。这类场所的危险性较敞开空间大得多，主要是危险物质不易消散，易形成有毒窒息性气体。</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8"/>
        </w:rPr>
      </w:pPr>
      <w:r>
        <w:rPr>
          <w:rFonts w:hint="eastAsia" w:ascii="宋体" w:hAnsi="宋体" w:eastAsia="宋体" w:cs="宋体"/>
          <w:kern w:val="28"/>
        </w:rPr>
        <w:t>2）进行此类场所检查作业时，凡用惰性气体置换的，进入前必须用空气置换，并测定区域内空气中的氧含量或配备必要防护设备方可，否则易发生作业人员窒息事故。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8"/>
        </w:rPr>
      </w:pPr>
      <w:r>
        <w:rPr>
          <w:rFonts w:hint="eastAsia" w:ascii="宋体" w:hAnsi="宋体" w:eastAsia="宋体" w:cs="宋体"/>
          <w:kern w:val="28"/>
        </w:rPr>
        <w:t>3）切断电源，并上锁或挂警告牌，以确保检修中不能启动机械设备，否则将造成机毁人亡惨剧。</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8"/>
        </w:rPr>
      </w:pPr>
      <w:r>
        <w:rPr>
          <w:rFonts w:hint="eastAsia" w:ascii="宋体" w:hAnsi="宋体" w:eastAsia="宋体" w:cs="宋体"/>
          <w:kern w:val="28"/>
        </w:rPr>
        <w:t>4）有限作业场所作业照明、作业的电动工具必须使用安全电压，符合相应的防爆要求。否则易造成触电、火灾爆炸事故。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8"/>
        </w:rPr>
      </w:pPr>
      <w:r>
        <w:rPr>
          <w:rFonts w:hint="eastAsia" w:ascii="宋体" w:hAnsi="宋体" w:eastAsia="宋体" w:cs="宋体"/>
          <w:kern w:val="28"/>
        </w:rPr>
        <w:t>6）应根据作业空间形状、危险性大小和介质性质，作业前做好个体防护和相应的急救准备工作，否则易引发多类事故。</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35" w:name="_Toc12322"/>
      <w:bookmarkStart w:id="236" w:name="_Toc23002"/>
      <w:r>
        <w:rPr>
          <w:rFonts w:hint="eastAsia" w:ascii="宋体" w:hAnsi="宋体" w:eastAsia="宋体" w:cs="宋体"/>
          <w:sz w:val="30"/>
          <w:szCs w:val="30"/>
        </w:rPr>
        <w:t>3.6危险、危害产生的原因分析</w:t>
      </w:r>
      <w:bookmarkEnd w:id="230"/>
      <w:bookmarkEnd w:id="231"/>
      <w:bookmarkEnd w:id="235"/>
      <w:bookmarkEnd w:id="236"/>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危险危害产生的根本原因就是失控，主要体现在设备故障或缺陷，管理缺陷，人员失误，环境不良等几个方面。</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1、设备故障或缺陷</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szCs w:val="28"/>
        </w:rPr>
        <w:t>装置的设备，元件在运行过程中因性能不能满足生产的需要，实现</w:t>
      </w:r>
      <w:r>
        <w:rPr>
          <w:rFonts w:hint="eastAsia" w:ascii="宋体" w:hAnsi="宋体" w:eastAsia="宋体" w:cs="宋体"/>
        </w:rPr>
        <w:t>预定的功能，就会发生故障而导致危险事故的发生。如容器的材质，密封等；电气设备绝缘，保护装置失效等造成漏电；静电接地，防雷接地不良等都会造成事故的发生。另外，运行设备发生异常没有及时处理，造成设备损坏，工艺控制条件不当引起正常生产条件破坏，都可能造成事故的发生。</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2、管理缺陷</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安全管理机构不健全，安全管理制度执行不力，安全检查流于形式等；职工的安全教育、培训不到位；安全技术措施不能满足生产的需要，安全设施没有认真维护、检验；劳动保护措施没有认真落实，劳动保护用品及防护用品不能正常发放或正确穿戴等。都可能造成事故的发生。</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3、人员失误</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生产操作时由于人的不安全行为可能产生不良后果，如防爆区域内使用产生火花的工具，电工带负荷拉闸引起电弧等。人的不安全行为大致可分为操作失误造成安全附件失效；使用不安全工具、设备；冒险进入危险场所；不安全着装，攀坐不安全位置；不遵守安全规程；现场吸烟，精神不集中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4、环境不良</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rPr>
      </w:pPr>
      <w:r>
        <w:rPr>
          <w:rFonts w:hint="eastAsia" w:ascii="宋体" w:hAnsi="宋体" w:eastAsia="宋体" w:cs="宋体"/>
        </w:rPr>
        <w:t>环境的影响主要有两个方面，一是现场作业环境，如空间，照明、通风、管道标色等，可能造成危险危害因素的发生。另一方面，外部环境如暴风雨等自然条件影响，也可能引起危险危害因素的发生。</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37" w:name="_Toc21845"/>
      <w:bookmarkStart w:id="238" w:name="_Toc23360"/>
      <w:bookmarkStart w:id="239" w:name="_Toc525109154"/>
      <w:bookmarkStart w:id="240" w:name="_Toc355615951"/>
      <w:bookmarkStart w:id="241" w:name="_Toc4224"/>
      <w:r>
        <w:rPr>
          <w:rFonts w:hint="eastAsia" w:ascii="宋体" w:hAnsi="宋体" w:eastAsia="宋体" w:cs="宋体"/>
          <w:sz w:val="30"/>
          <w:szCs w:val="30"/>
        </w:rPr>
        <w:t>3.7作业环境危险性分析</w:t>
      </w:r>
      <w:bookmarkEnd w:id="237"/>
      <w:bookmarkEnd w:id="238"/>
      <w:bookmarkEnd w:id="239"/>
      <w:bookmarkEnd w:id="240"/>
      <w:bookmarkEnd w:id="241"/>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作业环境的危险主要表现在两个方面。</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一是作业环境，如温度、湿度、通风、照明、噪声、色彩等。如温度、湿度、噪声、色彩等可能造成人的身体状况不良，注意力不集中，影响对周围情况的判断力，从而造成误操作或对故障处理不当引发危险的发生；如通风不良可能造成易燃、有毒有害物质的积聚而引发事故；如照明不良则可能造成人员因视线不清而发生摔跌或误操作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另一方面是外部环境如炎热、暴风雨等。如炎热可能使人体对有毒物质更敏感；暴风雨可能造成雷击伤人或损坏设备事故，也可能引发火灾、爆炸事故，或造成房屋损坏。另外，还可能因雷雨造成设备电气绝缘下降以致发生事故。</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42" w:name="_Toc31120"/>
      <w:bookmarkStart w:id="243" w:name="_Toc313574245"/>
      <w:bookmarkStart w:id="244" w:name="_Toc342424380"/>
      <w:bookmarkStart w:id="245" w:name="_Toc327710568"/>
      <w:bookmarkStart w:id="246" w:name="_Toc355615952"/>
      <w:bookmarkStart w:id="247" w:name="_Toc274377397"/>
      <w:bookmarkStart w:id="248" w:name="_Toc349506714"/>
      <w:bookmarkStart w:id="249" w:name="_Toc525109155"/>
      <w:bookmarkStart w:id="250" w:name="_Toc12997"/>
      <w:bookmarkStart w:id="251" w:name="_Toc28542"/>
      <w:r>
        <w:rPr>
          <w:rFonts w:hint="eastAsia" w:ascii="宋体" w:hAnsi="宋体" w:eastAsia="宋体" w:cs="宋体"/>
          <w:sz w:val="30"/>
          <w:szCs w:val="30"/>
        </w:rPr>
        <w:t>3.8安全管理缺陷分析</w:t>
      </w:r>
      <w:bookmarkEnd w:id="242"/>
      <w:bookmarkEnd w:id="243"/>
      <w:bookmarkEnd w:id="244"/>
      <w:bookmarkEnd w:id="245"/>
      <w:bookmarkEnd w:id="246"/>
      <w:bookmarkEnd w:id="247"/>
      <w:bookmarkEnd w:id="248"/>
      <w:bookmarkEnd w:id="249"/>
      <w:bookmarkEnd w:id="250"/>
      <w:bookmarkEnd w:id="251"/>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安全生产管理的缺陷往往导致物(物料、设施、设备)的不安全状态和人的不安全行为，虽不是导致事故的直接原因，但却是本质原因。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安全生产管理和监督上的缺陷主要体现在</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（1）安全管理不科学，机构不健全，安全责任不明确，安全管理规章制度不健全或执行不力；</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（2）安全教育和技术培训不足或流于形式，对职工教育不严格，劳动纪律松驰，对新工人的安全教育培训不落实；</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（3）忽视防护设施，设备无防护装置，安全信号失灵。通风照明不合要求，安全工具不齐备，存在隐患未及时消除；</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（4）用人单位的缺陷，如人事安排不合理、负荷超限、无必要的监督和联络、禁忌作业等。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5）违反人机工程原理，如使用的机器不适合人生理或心理特点，此外，一些客观因素，如温度、湿度、风雨雪、照明、视野、噪声、振动、通风气、色彩等也会引起设备故障或人员失误，是导致危险、有害、物质和量失控的间接因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（6）事故报告不及时，调查、处理不当等，事故应急救援预案不落实。</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生产管理主要体现在安全生产管理机构或专(兼)职安全生产管人员的配置，安全生产责任制和安全生产管理规章制度的制定和执行，职工安全生产教育及培训的程度，安全设施的配置及维护，劳动防护用品发放及使用，安全投入的保障等方面。管理缺陷可能造成设备故障(缺陷)不能及时发现处理，设备长期得不到维护、检修或检修质量不能保证，安全设施、防护用品(用具)不能正常发挥作用而引发事故，或因管理松懈使人员失误增多等。管理缺陷通常表现为违章指挥、违章作业、违反劳动纪律以及物的不安全状态不能及时得到消除，隐患得不到及时整改等，从而使危险因素转化为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安全生产管理缺陷主要依靠健全安全管理机构、完善安全管理规章制度并严格执行，加强员工职业技能培训和安全知识教育培训，提高员工的整体素质来消除。</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52" w:name="_Toc301966478"/>
      <w:bookmarkStart w:id="253" w:name="_Toc27860"/>
      <w:bookmarkStart w:id="254" w:name="_Toc355615953"/>
      <w:bookmarkStart w:id="255" w:name="_Toc17523"/>
      <w:bookmarkStart w:id="256" w:name="_Toc349506715"/>
      <w:bookmarkStart w:id="257" w:name="_Toc274377398"/>
      <w:bookmarkStart w:id="258" w:name="_Toc525109156"/>
      <w:bookmarkStart w:id="259" w:name="_Toc17244"/>
      <w:r>
        <w:rPr>
          <w:rFonts w:hint="eastAsia" w:ascii="宋体" w:hAnsi="宋体" w:eastAsia="宋体" w:cs="宋体"/>
          <w:sz w:val="30"/>
          <w:szCs w:val="30"/>
        </w:rPr>
        <w:t>3.9自然危害因素</w:t>
      </w:r>
      <w:bookmarkEnd w:id="252"/>
      <w:bookmarkEnd w:id="253"/>
      <w:bookmarkEnd w:id="254"/>
      <w:bookmarkEnd w:id="255"/>
      <w:bookmarkEnd w:id="256"/>
      <w:bookmarkEnd w:id="257"/>
      <w:bookmarkEnd w:id="258"/>
      <w:bookmarkEnd w:id="259"/>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bookmarkStart w:id="260" w:name="_Toc226741668"/>
      <w:bookmarkStart w:id="261" w:name="_Toc216514647"/>
      <w:bookmarkStart w:id="262" w:name="_Toc339379198"/>
      <w:bookmarkStart w:id="263" w:name="_Toc327710572"/>
      <w:bookmarkStart w:id="264" w:name="_Toc274377403"/>
      <w:bookmarkStart w:id="265" w:name="_Toc349506720"/>
      <w:bookmarkStart w:id="266" w:name="_Toc342424384"/>
      <w:bookmarkStart w:id="267" w:name="_Toc312706608"/>
      <w:r>
        <w:rPr>
          <w:rFonts w:hint="eastAsia" w:ascii="宋体" w:hAnsi="宋体" w:eastAsia="宋体" w:cs="宋体"/>
          <w:b w:val="0"/>
          <w:szCs w:val="28"/>
          <w:lang w:val="zh-CN"/>
        </w:rPr>
        <w:t>3.9.1地质灾害</w:t>
      </w:r>
      <w:bookmarkEnd w:id="260"/>
      <w:bookmarkEnd w:id="261"/>
      <w:bookmarkEnd w:id="262"/>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bookmarkStart w:id="268" w:name="_Toc339379199"/>
      <w:bookmarkStart w:id="269" w:name="_Toc226741669"/>
      <w:bookmarkStart w:id="270" w:name="_Toc216514648"/>
      <w:r>
        <w:rPr>
          <w:rFonts w:hint="eastAsia" w:ascii="宋体" w:hAnsi="宋体" w:eastAsia="宋体" w:cs="宋体"/>
          <w:szCs w:val="28"/>
        </w:rPr>
        <w:t>自然变异和人为作用都有可能导致地质环境或地质体发生变化，当这种变化达到一定程度时，便给人类和社会造成危害，即地质灾害，如地震、崩塌、滑坡、泥石流、地面沉降、地面坍塌等。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1)地震</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Cs/>
          <w:szCs w:val="28"/>
        </w:rPr>
      </w:pPr>
      <w:r>
        <w:rPr>
          <w:rFonts w:hint="eastAsia" w:ascii="宋体" w:hAnsi="宋体" w:eastAsia="宋体" w:cs="宋体"/>
          <w:bCs/>
          <w:szCs w:val="28"/>
        </w:rPr>
        <w:t>地震是一种能产生巨大破坏作用的自然现象，对建筑物破坏作用明显，威胁设备、人员的安全。预防地震危害发生主要措施是根据地质特点合理设防，该项目按Ⅵ度进行抗震建设的。</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Cs/>
          <w:szCs w:val="28"/>
        </w:rPr>
      </w:pPr>
      <w:r>
        <w:rPr>
          <w:rFonts w:hint="eastAsia" w:ascii="宋体" w:hAnsi="宋体" w:eastAsia="宋体" w:cs="宋体"/>
          <w:bCs/>
          <w:szCs w:val="28"/>
        </w:rPr>
        <w:t>2)不良地质</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bCs/>
          <w:szCs w:val="28"/>
        </w:rPr>
        <w:t>不良地质对建筑物的破坏作用较大，影响人员的安全，本项目厂区场地与地基稳定，无不良地质作用存在。</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lang w:val="zh-CN"/>
        </w:rPr>
      </w:pPr>
      <w:r>
        <w:rPr>
          <w:rFonts w:hint="eastAsia" w:ascii="宋体" w:hAnsi="宋体" w:eastAsia="宋体" w:cs="宋体"/>
          <w:b w:val="0"/>
          <w:szCs w:val="28"/>
          <w:lang w:val="zh-CN"/>
        </w:rPr>
        <w:t>3.9.2气候灾害</w:t>
      </w:r>
      <w:bookmarkEnd w:id="268"/>
      <w:bookmarkEnd w:id="269"/>
      <w:bookmarkEnd w:id="270"/>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由于大气作用对人类生命财产、国民经济建设和国防建设等所造成的损害，称为气候灾害，包括干旱、寒潮、雷电、低温、雪暴、大雾、洪水、台风等。</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雷电是一种自然现象，能破坏建筑物和设备，并可导致火灾和爆炸事故，其出现的机会不多，作用时间短暂。因此，具有突发性，指损害程度不确定性。项目所在地位于南方多雷雨地区，存在高大建(构)筑物或设施，如办公楼、调度控制中心、通信塔等。如果这些设备设施的防雷设施未设置、设置不合理，或防雷设施损坏未及时进行修复，将造成直接雷击破坏。对于电气设施，如果接地不良、布线错误，各供电线路、电源线、信号线、通信线、馈线未安装相应的避雷器或未采取屏蔽措施，将有可能遭受感应雷击，造成电力、电气系统损害。</w:t>
      </w:r>
    </w:p>
    <w:bookmarkEnd w:id="263"/>
    <w:bookmarkEnd w:id="264"/>
    <w:bookmarkEnd w:id="265"/>
    <w:bookmarkEnd w:id="266"/>
    <w:bookmarkEnd w:id="267"/>
    <w:p>
      <w:pPr>
        <w:pStyle w:val="4"/>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30"/>
          <w:szCs w:val="30"/>
        </w:rPr>
      </w:pPr>
      <w:bookmarkStart w:id="271" w:name="_Toc24799"/>
      <w:bookmarkStart w:id="272" w:name="_Toc9114"/>
      <w:bookmarkStart w:id="273" w:name="_Toc525109157"/>
      <w:bookmarkStart w:id="274" w:name="_Toc18474"/>
      <w:r>
        <w:rPr>
          <w:rFonts w:hint="eastAsia" w:ascii="宋体" w:hAnsi="宋体" w:eastAsia="宋体" w:cs="宋体"/>
          <w:sz w:val="30"/>
          <w:szCs w:val="30"/>
        </w:rPr>
        <w:t>3.10危险、有害因素分布</w:t>
      </w:r>
      <w:bookmarkEnd w:id="232"/>
      <w:bookmarkEnd w:id="271"/>
      <w:bookmarkEnd w:id="272"/>
      <w:bookmarkEnd w:id="273"/>
      <w:bookmarkEnd w:id="274"/>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该项目最主要的危险、有害因素是火灾、中毒和窒息、灼烫；同时有电气伤害、机械伤害、车辆伤害、高处坠落、噪声、坍塌等危险、有害因素。其汇总情况见下表：</w:t>
      </w:r>
    </w:p>
    <w:p>
      <w:pPr>
        <w:rPr>
          <w:rStyle w:val="43"/>
          <w:rFonts w:hint="eastAsia" w:ascii="宋体" w:hAnsi="宋体" w:eastAsia="宋体" w:cs="宋体"/>
          <w:bCs/>
        </w:rPr>
      </w:pPr>
      <w:r>
        <w:rPr>
          <w:rStyle w:val="43"/>
          <w:rFonts w:hint="eastAsia" w:ascii="宋体" w:hAnsi="宋体" w:eastAsia="宋体" w:cs="宋体"/>
          <w:bCs/>
        </w:rPr>
        <w:br w:type="page"/>
      </w:r>
    </w:p>
    <w:p>
      <w:pPr>
        <w:pageBreakBefore w:val="0"/>
        <w:widowControl w:val="0"/>
        <w:kinsoku/>
        <w:wordWrap/>
        <w:overflowPunct/>
        <w:topLinePunct w:val="0"/>
        <w:autoSpaceDE/>
        <w:autoSpaceDN/>
        <w:bidi w:val="0"/>
        <w:adjustRightInd/>
        <w:snapToGrid/>
        <w:spacing w:line="600" w:lineRule="exact"/>
        <w:ind w:firstLine="504" w:firstLineChars="200"/>
        <w:jc w:val="center"/>
        <w:textAlignment w:val="auto"/>
        <w:rPr>
          <w:rStyle w:val="43"/>
          <w:rFonts w:hint="eastAsia" w:ascii="宋体" w:hAnsi="宋体" w:eastAsia="宋体" w:cs="宋体"/>
          <w:bCs/>
        </w:rPr>
      </w:pPr>
      <w:r>
        <w:rPr>
          <w:rStyle w:val="43"/>
          <w:rFonts w:hint="eastAsia" w:ascii="宋体" w:hAnsi="宋体" w:eastAsia="宋体" w:cs="宋体"/>
          <w:bCs/>
        </w:rPr>
        <w:t>表3.11-1  主要危险和有害因素</w:t>
      </w:r>
    </w:p>
    <w:tbl>
      <w:tblPr>
        <w:tblStyle w:val="28"/>
        <w:tblW w:w="4672" w:type="pct"/>
        <w:jc w:val="center"/>
        <w:tblBorders>
          <w:top w:val="single" w:color="auto" w:sz="6"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07"/>
        <w:gridCol w:w="484"/>
        <w:gridCol w:w="525"/>
        <w:gridCol w:w="474"/>
        <w:gridCol w:w="507"/>
        <w:gridCol w:w="562"/>
        <w:gridCol w:w="562"/>
        <w:gridCol w:w="562"/>
        <w:gridCol w:w="562"/>
        <w:gridCol w:w="569"/>
        <w:gridCol w:w="562"/>
        <w:gridCol w:w="568"/>
        <w:gridCol w:w="535"/>
      </w:tblGrid>
      <w:tr>
        <w:tblPrEx>
          <w:tblBorders>
            <w:top w:val="single" w:color="auto" w:sz="6"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 w:hRule="atLeast"/>
          <w:tblHeader/>
          <w:jc w:val="center"/>
        </w:trPr>
        <w:tc>
          <w:tcPr>
            <w:tcW w:w="1271" w:type="pct"/>
            <w:vMerge w:val="restar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危险有害因素</w:t>
            </w:r>
          </w:p>
          <w:p>
            <w:pPr>
              <w:spacing w:line="240" w:lineRule="auto"/>
              <w:rPr>
                <w:rFonts w:hint="eastAsia" w:ascii="宋体" w:hAnsi="宋体" w:eastAsia="宋体" w:cs="宋体"/>
                <w:sz w:val="21"/>
                <w:szCs w:val="21"/>
              </w:rPr>
            </w:pPr>
            <w:r>
              <w:rPr>
                <w:rFonts w:hint="eastAsia" w:ascii="宋体" w:hAnsi="宋体" w:eastAsia="宋体" w:cs="宋体"/>
                <w:sz w:val="21"/>
                <w:szCs w:val="21"/>
                <w:lang w:val="zh-CN"/>
              </w:rPr>
              <w:t>存在场所</w:t>
            </w:r>
          </w:p>
        </w:tc>
        <w:tc>
          <w:tcPr>
            <w:tcW w:w="2769" w:type="pct"/>
            <w:gridSpan w:val="9"/>
            <w:tcBorders>
              <w:tl2br w:val="nil"/>
              <w:tr2bl w:val="nil"/>
            </w:tcBorders>
            <w:vAlign w:val="center"/>
          </w:tcPr>
          <w:p>
            <w:pPr>
              <w:spacing w:line="240" w:lineRule="auto"/>
              <w:jc w:val="center"/>
              <w:rPr>
                <w:rFonts w:hint="eastAsia" w:ascii="宋体" w:hAnsi="宋体" w:eastAsia="宋体" w:cs="宋体"/>
                <w:sz w:val="21"/>
                <w:szCs w:val="21"/>
                <w:lang w:val="zh-CN"/>
              </w:rPr>
            </w:pPr>
            <w:r>
              <w:rPr>
                <w:rFonts w:hint="eastAsia" w:ascii="宋体" w:hAnsi="宋体" w:eastAsia="宋体" w:cs="宋体"/>
                <w:sz w:val="21"/>
                <w:szCs w:val="21"/>
                <w:lang w:val="zh-CN"/>
              </w:rPr>
              <w:t>危险因素</w:t>
            </w:r>
          </w:p>
        </w:tc>
        <w:tc>
          <w:tcPr>
            <w:tcW w:w="959" w:type="pct"/>
            <w:gridSpan w:val="3"/>
            <w:tcBorders>
              <w:tl2br w:val="nil"/>
              <w:tr2bl w:val="nil"/>
            </w:tcBorders>
            <w:vAlign w:val="center"/>
          </w:tcPr>
          <w:p>
            <w:pPr>
              <w:spacing w:line="240" w:lineRule="auto"/>
              <w:jc w:val="center"/>
              <w:rPr>
                <w:rFonts w:hint="eastAsia" w:ascii="宋体" w:hAnsi="宋体" w:eastAsia="宋体" w:cs="宋体"/>
                <w:sz w:val="21"/>
                <w:szCs w:val="21"/>
                <w:lang w:val="zh-CN"/>
              </w:rPr>
            </w:pPr>
            <w:r>
              <w:rPr>
                <w:rFonts w:hint="eastAsia" w:ascii="宋体" w:hAnsi="宋体" w:eastAsia="宋体" w:cs="宋体"/>
                <w:sz w:val="21"/>
                <w:szCs w:val="21"/>
                <w:lang w:val="zh-CN"/>
              </w:rPr>
              <w:t>有害因素</w:t>
            </w:r>
          </w:p>
        </w:tc>
      </w:tr>
      <w:tr>
        <w:tblPrEx>
          <w:tblBorders>
            <w:top w:val="single" w:color="auto" w:sz="6"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5" w:hRule="atLeast"/>
          <w:tblHeader/>
          <w:jc w:val="center"/>
        </w:trPr>
        <w:tc>
          <w:tcPr>
            <w:tcW w:w="1271" w:type="pct"/>
            <w:vMerge w:val="continue"/>
            <w:tcBorders>
              <w:tl2br w:val="nil"/>
              <w:tr2bl w:val="nil"/>
            </w:tcBorders>
            <w:vAlign w:val="center"/>
          </w:tcPr>
          <w:p>
            <w:pPr>
              <w:spacing w:line="240" w:lineRule="auto"/>
              <w:rPr>
                <w:rFonts w:hint="eastAsia" w:ascii="宋体" w:hAnsi="宋体" w:eastAsia="宋体" w:cs="宋体"/>
                <w:sz w:val="21"/>
                <w:szCs w:val="21"/>
              </w:rPr>
            </w:pPr>
          </w:p>
        </w:tc>
        <w:tc>
          <w:tcPr>
            <w:tcW w:w="278"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火</w:t>
            </w:r>
          </w:p>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灾</w:t>
            </w:r>
          </w:p>
        </w:tc>
        <w:tc>
          <w:tcPr>
            <w:tcW w:w="302"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中毒</w:t>
            </w:r>
          </w:p>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窒息</w:t>
            </w:r>
          </w:p>
        </w:tc>
        <w:tc>
          <w:tcPr>
            <w:tcW w:w="273"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爆炸</w:t>
            </w:r>
          </w:p>
        </w:tc>
        <w:tc>
          <w:tcPr>
            <w:tcW w:w="292" w:type="pct"/>
            <w:tcBorders>
              <w:tl2br w:val="nil"/>
              <w:tr2bl w:val="nil"/>
            </w:tcBorders>
            <w:vAlign w:val="center"/>
          </w:tcPr>
          <w:p>
            <w:pPr>
              <w:spacing w:line="240" w:lineRule="auto"/>
              <w:rPr>
                <w:rFonts w:hint="eastAsia" w:ascii="宋体" w:hAnsi="宋体" w:eastAsia="宋体" w:cs="宋体"/>
                <w:sz w:val="21"/>
                <w:szCs w:val="21"/>
                <w:u w:val="single"/>
                <w:lang w:val="zh-CN"/>
              </w:rPr>
            </w:pPr>
            <w:r>
              <w:rPr>
                <w:rFonts w:hint="eastAsia" w:ascii="宋体" w:hAnsi="宋体" w:eastAsia="宋体" w:cs="宋体"/>
                <w:sz w:val="21"/>
                <w:szCs w:val="21"/>
                <w:lang w:val="zh-CN"/>
              </w:rPr>
              <w:t>灼</w:t>
            </w:r>
          </w:p>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烫</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坍塌</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机械伤害</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触电</w:t>
            </w:r>
          </w:p>
          <w:p>
            <w:pPr>
              <w:spacing w:line="240" w:lineRule="auto"/>
              <w:rPr>
                <w:rFonts w:hint="eastAsia" w:ascii="宋体" w:hAnsi="宋体" w:eastAsia="宋体" w:cs="宋体"/>
                <w:sz w:val="21"/>
                <w:szCs w:val="21"/>
                <w:lang w:val="zh-CN"/>
              </w:rPr>
            </w:pP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物体打击</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车辆伤害</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噪声</w:t>
            </w:r>
          </w:p>
        </w:tc>
        <w:tc>
          <w:tcPr>
            <w:tcW w:w="32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高温</w:t>
            </w:r>
          </w:p>
        </w:tc>
        <w:tc>
          <w:tcPr>
            <w:tcW w:w="30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低温</w:t>
            </w:r>
          </w:p>
        </w:tc>
      </w:tr>
      <w:tr>
        <w:tblPrEx>
          <w:tblBorders>
            <w:top w:val="single" w:color="auto" w:sz="6"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jc w:val="center"/>
        </w:trPr>
        <w:tc>
          <w:tcPr>
            <w:tcW w:w="1271" w:type="pct"/>
            <w:tcBorders>
              <w:tl2br w:val="nil"/>
              <w:tr2bl w:val="nil"/>
            </w:tcBorders>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氨回收装置</w:t>
            </w:r>
          </w:p>
        </w:tc>
        <w:tc>
          <w:tcPr>
            <w:tcW w:w="278"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02"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273"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292"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0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r>
      <w:tr>
        <w:tblPrEx>
          <w:tblBorders>
            <w:top w:val="single" w:color="auto" w:sz="6"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1" w:hRule="atLeast"/>
          <w:jc w:val="center"/>
        </w:trPr>
        <w:tc>
          <w:tcPr>
            <w:tcW w:w="1271" w:type="pct"/>
            <w:tcBorders>
              <w:tl2br w:val="nil"/>
              <w:tr2bl w:val="nil"/>
            </w:tcBorders>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氨水储罐</w:t>
            </w:r>
          </w:p>
        </w:tc>
        <w:tc>
          <w:tcPr>
            <w:tcW w:w="278"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02"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273" w:type="pct"/>
            <w:tcBorders>
              <w:tl2br w:val="nil"/>
              <w:tr2bl w:val="nil"/>
            </w:tcBorders>
            <w:vAlign w:val="center"/>
          </w:tcPr>
          <w:p>
            <w:pPr>
              <w:spacing w:line="240" w:lineRule="auto"/>
              <w:rPr>
                <w:rFonts w:hint="eastAsia" w:ascii="宋体" w:hAnsi="宋体" w:eastAsia="宋体" w:cs="宋体"/>
                <w:sz w:val="21"/>
                <w:szCs w:val="21"/>
                <w:lang w:val="zh-CN"/>
              </w:rPr>
            </w:pPr>
          </w:p>
        </w:tc>
        <w:tc>
          <w:tcPr>
            <w:tcW w:w="292"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4"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2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c>
          <w:tcPr>
            <w:tcW w:w="307" w:type="pct"/>
            <w:tcBorders>
              <w:tl2br w:val="nil"/>
              <w:tr2bl w:val="nil"/>
            </w:tcBorders>
            <w:vAlign w:val="center"/>
          </w:tcPr>
          <w:p>
            <w:pPr>
              <w:spacing w:line="240" w:lineRule="auto"/>
              <w:rPr>
                <w:rFonts w:hint="eastAsia" w:ascii="宋体" w:hAnsi="宋体" w:eastAsia="宋体" w:cs="宋体"/>
                <w:sz w:val="21"/>
                <w:szCs w:val="21"/>
                <w:lang w:val="zh-CN"/>
              </w:rPr>
            </w:pPr>
            <w:r>
              <w:rPr>
                <w:rFonts w:hint="eastAsia" w:ascii="宋体" w:hAnsi="宋体" w:eastAsia="宋体" w:cs="宋体"/>
                <w:sz w:val="21"/>
                <w:szCs w:val="21"/>
                <w:lang w:val="zh-CN"/>
              </w:rPr>
              <w:t>√</w:t>
            </w:r>
          </w:p>
        </w:tc>
      </w:tr>
    </w:tbl>
    <w:p>
      <w:pPr>
        <w:spacing w:line="600" w:lineRule="exact"/>
        <w:ind w:firstLine="720" w:firstLineChars="300"/>
        <w:rPr>
          <w:rFonts w:hint="eastAsia" w:ascii="宋体" w:hAnsi="宋体" w:eastAsia="宋体" w:cs="宋体"/>
          <w:b/>
          <w:bCs/>
          <w:sz w:val="32"/>
          <w:szCs w:val="32"/>
        </w:rPr>
      </w:pPr>
      <w:r>
        <w:rPr>
          <w:rFonts w:hint="eastAsia" w:ascii="宋体" w:hAnsi="宋体" w:eastAsia="宋体" w:cs="宋体"/>
          <w:sz w:val="24"/>
        </w:rPr>
        <w:t>注：打“√”为危险、有害因素存在。</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75" w:name="_Toc19891"/>
      <w:bookmarkStart w:id="276" w:name="_Toc19110"/>
      <w:bookmarkStart w:id="277" w:name="_Toc21145"/>
      <w:bookmarkStart w:id="278" w:name="_Toc32696"/>
      <w:bookmarkStart w:id="279" w:name="_Toc280706495"/>
      <w:bookmarkStart w:id="280" w:name="_Toc280706331"/>
      <w:bookmarkStart w:id="281" w:name="_Toc449364812"/>
      <w:bookmarkStart w:id="282" w:name="_Toc280706577"/>
      <w:bookmarkStart w:id="283" w:name="_Toc278267804"/>
      <w:bookmarkStart w:id="284" w:name="_Toc204429178"/>
      <w:r>
        <w:rPr>
          <w:rFonts w:hint="eastAsia" w:ascii="宋体" w:hAnsi="宋体" w:eastAsia="宋体" w:cs="宋体"/>
          <w:sz w:val="30"/>
          <w:szCs w:val="30"/>
        </w:rPr>
        <w:t>3.11爆炸危险区域划分</w:t>
      </w:r>
      <w:bookmarkEnd w:id="275"/>
      <w:bookmarkEnd w:id="276"/>
      <w:bookmarkEnd w:id="277"/>
      <w:bookmarkEnd w:id="278"/>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本企业氨回收装置中涉及到易燃易爆物质有氨气、氢气。根据《爆炸危险环境电力装置设计规范》(GB50058-</w:t>
      </w:r>
      <w:r>
        <w:rPr>
          <w:rFonts w:hint="eastAsia" w:ascii="宋体" w:hAnsi="宋体" w:eastAsia="宋体" w:cs="宋体"/>
          <w:color w:val="auto"/>
          <w:szCs w:val="28"/>
        </w:rPr>
        <w:t>20</w:t>
      </w:r>
      <w:r>
        <w:rPr>
          <w:rFonts w:hint="eastAsia" w:ascii="宋体" w:hAnsi="宋体" w:eastAsia="宋体" w:cs="宋体"/>
          <w:color w:val="auto"/>
          <w:szCs w:val="28"/>
          <w:lang w:val="en-US" w:eastAsia="zh-CN"/>
        </w:rPr>
        <w:t>14</w:t>
      </w:r>
      <w:r>
        <w:rPr>
          <w:rFonts w:hint="eastAsia" w:ascii="宋体" w:hAnsi="宋体" w:eastAsia="宋体" w:cs="宋体"/>
          <w:szCs w:val="28"/>
        </w:rPr>
        <w:t>)，氨回收系统中电气设备和照明的电防爆等级选用不应低于ExⅡCT1，企业实际采用的</w:t>
      </w:r>
      <w:r>
        <w:rPr>
          <w:rFonts w:hint="eastAsia" w:ascii="宋体" w:hAnsi="宋体" w:eastAsia="宋体" w:cs="宋体"/>
          <w:szCs w:val="21"/>
        </w:rPr>
        <w:t>电机防爆等级为ExdⅡCT4Gb,配电盒、线管、灯具等设备为ExdⅡCT6Gb，能满足防爆要求。氨回收装置位于通风不良的钢棚内，通风不良，且氨气、氢气的密度小于空气，故涉及的</w:t>
      </w:r>
      <w:r>
        <w:rPr>
          <w:rFonts w:hint="eastAsia" w:ascii="宋体" w:hAnsi="宋体" w:eastAsia="宋体" w:cs="宋体"/>
          <w:szCs w:val="28"/>
        </w:rPr>
        <w:t>爆炸危险区域划分情况见下表3.11-1。</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rPr>
      </w:pPr>
      <w:r>
        <w:rPr>
          <w:rFonts w:hint="eastAsia" w:ascii="宋体" w:hAnsi="宋体" w:eastAsia="宋体" w:cs="宋体"/>
          <w:sz w:val="24"/>
        </w:rPr>
        <w:t>表3.11-1 爆炸危险区域的划分</w:t>
      </w: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165"/>
        <w:gridCol w:w="6237"/>
        <w:gridCol w:w="719"/>
        <w:gridCol w:w="9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05" w:hRule="atLeast"/>
          <w:tblHeader/>
          <w:jc w:val="center"/>
        </w:trPr>
        <w:tc>
          <w:tcPr>
            <w:tcW w:w="1165" w:type="dxa"/>
            <w:vAlign w:val="center"/>
          </w:tcPr>
          <w:p>
            <w:pPr>
              <w:overflowPunct w:val="0"/>
              <w:adjustRightInd w:val="0"/>
              <w:snapToGrid w:val="0"/>
              <w:spacing w:line="320" w:lineRule="exact"/>
              <w:jc w:val="center"/>
              <w:textAlignment w:val="bottom"/>
              <w:rPr>
                <w:rFonts w:hint="eastAsia" w:ascii="宋体" w:hAnsi="宋体" w:eastAsia="宋体" w:cs="宋体"/>
                <w:b/>
                <w:sz w:val="21"/>
                <w:szCs w:val="21"/>
              </w:rPr>
            </w:pPr>
            <w:r>
              <w:rPr>
                <w:rFonts w:hint="eastAsia" w:ascii="宋体" w:hAnsi="宋体" w:eastAsia="宋体" w:cs="宋体"/>
                <w:b/>
                <w:sz w:val="21"/>
                <w:szCs w:val="21"/>
              </w:rPr>
              <w:t>场所或装置</w:t>
            </w:r>
          </w:p>
        </w:tc>
        <w:tc>
          <w:tcPr>
            <w:tcW w:w="6237" w:type="dxa"/>
            <w:vAlign w:val="center"/>
          </w:tcPr>
          <w:p>
            <w:pPr>
              <w:overflowPunct w:val="0"/>
              <w:adjustRightInd w:val="0"/>
              <w:snapToGrid w:val="0"/>
              <w:spacing w:line="320" w:lineRule="exact"/>
              <w:jc w:val="center"/>
              <w:textAlignment w:val="bottom"/>
              <w:rPr>
                <w:rFonts w:hint="eastAsia" w:ascii="宋体" w:hAnsi="宋体" w:eastAsia="宋体" w:cs="宋体"/>
                <w:b/>
                <w:sz w:val="21"/>
                <w:szCs w:val="21"/>
              </w:rPr>
            </w:pPr>
            <w:r>
              <w:rPr>
                <w:rFonts w:hint="eastAsia" w:ascii="宋体" w:hAnsi="宋体" w:eastAsia="宋体" w:cs="宋体"/>
                <w:b/>
                <w:sz w:val="21"/>
                <w:szCs w:val="21"/>
              </w:rPr>
              <w:t>区域</w:t>
            </w:r>
          </w:p>
        </w:tc>
        <w:tc>
          <w:tcPr>
            <w:tcW w:w="719" w:type="dxa"/>
            <w:vAlign w:val="center"/>
          </w:tcPr>
          <w:p>
            <w:pPr>
              <w:overflowPunct w:val="0"/>
              <w:adjustRightInd w:val="0"/>
              <w:snapToGrid w:val="0"/>
              <w:spacing w:line="320" w:lineRule="exact"/>
              <w:jc w:val="center"/>
              <w:textAlignment w:val="bottom"/>
              <w:rPr>
                <w:rFonts w:hint="eastAsia" w:ascii="宋体" w:hAnsi="宋体" w:eastAsia="宋体" w:cs="宋体"/>
                <w:b/>
                <w:sz w:val="21"/>
                <w:szCs w:val="21"/>
              </w:rPr>
            </w:pPr>
            <w:r>
              <w:rPr>
                <w:rFonts w:hint="eastAsia" w:ascii="宋体" w:hAnsi="宋体" w:eastAsia="宋体" w:cs="宋体"/>
                <w:b/>
                <w:sz w:val="21"/>
                <w:szCs w:val="21"/>
              </w:rPr>
              <w:t>类别</w:t>
            </w:r>
          </w:p>
        </w:tc>
        <w:tc>
          <w:tcPr>
            <w:tcW w:w="997" w:type="dxa"/>
            <w:vAlign w:val="center"/>
          </w:tcPr>
          <w:p>
            <w:pPr>
              <w:overflowPunct w:val="0"/>
              <w:adjustRightInd w:val="0"/>
              <w:snapToGrid w:val="0"/>
              <w:spacing w:line="320" w:lineRule="exact"/>
              <w:jc w:val="center"/>
              <w:textAlignment w:val="bottom"/>
              <w:rPr>
                <w:rFonts w:hint="eastAsia" w:ascii="宋体" w:hAnsi="宋体" w:eastAsia="宋体" w:cs="宋体"/>
                <w:b/>
                <w:sz w:val="21"/>
                <w:szCs w:val="21"/>
              </w:rPr>
            </w:pPr>
            <w:r>
              <w:rPr>
                <w:rFonts w:hint="eastAsia" w:ascii="宋体" w:hAnsi="宋体" w:eastAsia="宋体" w:cs="宋体"/>
                <w:b/>
                <w:sz w:val="21"/>
                <w:szCs w:val="21"/>
              </w:rPr>
              <w:t>危险介质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60" w:hRule="atLeast"/>
          <w:tblHeader/>
          <w:jc w:val="center"/>
        </w:trPr>
        <w:tc>
          <w:tcPr>
            <w:tcW w:w="1165" w:type="dxa"/>
            <w:vMerge w:val="restart"/>
            <w:vAlign w:val="center"/>
          </w:tcPr>
          <w:p>
            <w:pPr>
              <w:keepNext/>
              <w:keepLines/>
              <w:overflowPunct w:val="0"/>
              <w:adjustRightInd w:val="0"/>
              <w:snapToGrid w:val="0"/>
              <w:spacing w:line="320" w:lineRule="exact"/>
              <w:jc w:val="center"/>
              <w:textAlignment w:val="bottom"/>
              <w:rPr>
                <w:rFonts w:hint="eastAsia" w:ascii="宋体" w:hAnsi="宋体" w:eastAsia="宋体" w:cs="宋体"/>
                <w:bCs/>
                <w:sz w:val="21"/>
                <w:szCs w:val="21"/>
              </w:rPr>
            </w:pPr>
            <w:r>
              <w:rPr>
                <w:rFonts w:hint="eastAsia" w:ascii="宋体" w:hAnsi="宋体" w:eastAsia="宋体" w:cs="宋体"/>
                <w:bCs/>
                <w:sz w:val="21"/>
                <w:szCs w:val="21"/>
              </w:rPr>
              <w:t>氨回收装置</w:t>
            </w:r>
          </w:p>
        </w:tc>
        <w:tc>
          <w:tcPr>
            <w:tcW w:w="6237" w:type="dxa"/>
            <w:vAlign w:val="center"/>
          </w:tcPr>
          <w:p>
            <w:pPr>
              <w:overflowPunct w:val="0"/>
              <w:adjustRightInd w:val="0"/>
              <w:snapToGrid w:val="0"/>
              <w:spacing w:line="320" w:lineRule="exact"/>
              <w:textAlignment w:val="bottom"/>
              <w:rPr>
                <w:rFonts w:hint="eastAsia" w:ascii="宋体" w:hAnsi="宋体" w:eastAsia="宋体" w:cs="宋体"/>
                <w:bCs/>
                <w:sz w:val="21"/>
                <w:szCs w:val="21"/>
              </w:rPr>
            </w:pPr>
            <w:r>
              <w:rPr>
                <w:rFonts w:hint="eastAsia" w:ascii="宋体" w:hAnsi="宋体" w:eastAsia="宋体" w:cs="宋体"/>
                <w:bCs/>
                <w:sz w:val="21"/>
                <w:szCs w:val="21"/>
              </w:rPr>
              <w:t>生产装置的封闭区内部可划为1区；</w:t>
            </w:r>
          </w:p>
          <w:p>
            <w:pPr>
              <w:overflowPunct w:val="0"/>
              <w:adjustRightInd w:val="0"/>
              <w:snapToGrid w:val="0"/>
              <w:spacing w:line="320" w:lineRule="exact"/>
              <w:textAlignment w:val="bottom"/>
              <w:rPr>
                <w:rFonts w:hint="eastAsia" w:ascii="宋体" w:hAnsi="宋体" w:eastAsia="宋体" w:cs="宋体"/>
                <w:bCs/>
                <w:sz w:val="21"/>
                <w:szCs w:val="21"/>
              </w:rPr>
            </w:pPr>
            <w:r>
              <w:rPr>
                <w:rFonts w:hint="eastAsia" w:ascii="宋体" w:hAnsi="宋体" w:eastAsia="宋体" w:cs="宋体"/>
                <w:bCs/>
                <w:sz w:val="21"/>
                <w:szCs w:val="21"/>
              </w:rPr>
              <w:t>以尾气排放管口为中心，半径为1.5m的空间划为1区。</w:t>
            </w:r>
          </w:p>
        </w:tc>
        <w:tc>
          <w:tcPr>
            <w:tcW w:w="719" w:type="dxa"/>
            <w:vAlign w:val="center"/>
          </w:tcPr>
          <w:p>
            <w:pPr>
              <w:overflowPunct w:val="0"/>
              <w:adjustRightInd w:val="0"/>
              <w:snapToGrid w:val="0"/>
              <w:spacing w:line="320" w:lineRule="exact"/>
              <w:jc w:val="center"/>
              <w:textAlignment w:val="bottom"/>
              <w:rPr>
                <w:rFonts w:hint="eastAsia" w:ascii="宋体" w:hAnsi="宋体" w:eastAsia="宋体" w:cs="宋体"/>
                <w:bCs/>
                <w:sz w:val="21"/>
                <w:szCs w:val="21"/>
              </w:rPr>
            </w:pPr>
            <w:r>
              <w:rPr>
                <w:rFonts w:hint="eastAsia" w:ascii="宋体" w:hAnsi="宋体" w:eastAsia="宋体" w:cs="宋体"/>
                <w:bCs/>
                <w:sz w:val="21"/>
                <w:szCs w:val="21"/>
              </w:rPr>
              <w:t>1区</w:t>
            </w:r>
          </w:p>
        </w:tc>
        <w:tc>
          <w:tcPr>
            <w:tcW w:w="997" w:type="dxa"/>
            <w:vMerge w:val="restart"/>
            <w:vAlign w:val="center"/>
          </w:tcPr>
          <w:p>
            <w:pPr>
              <w:widowControl/>
              <w:snapToGrid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氨气、氢气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90" w:hRule="atLeast"/>
          <w:jc w:val="center"/>
        </w:trPr>
        <w:tc>
          <w:tcPr>
            <w:tcW w:w="1165" w:type="dxa"/>
            <w:vMerge w:val="continue"/>
            <w:vAlign w:val="center"/>
          </w:tcPr>
          <w:p>
            <w:pPr>
              <w:widowControl/>
              <w:snapToGrid w:val="0"/>
              <w:spacing w:line="320" w:lineRule="exact"/>
              <w:rPr>
                <w:rFonts w:hint="eastAsia" w:ascii="宋体" w:hAnsi="宋体" w:eastAsia="宋体" w:cs="宋体"/>
                <w:sz w:val="21"/>
                <w:szCs w:val="21"/>
              </w:rPr>
            </w:pPr>
          </w:p>
        </w:tc>
        <w:tc>
          <w:tcPr>
            <w:tcW w:w="6237" w:type="dxa"/>
            <w:vAlign w:val="center"/>
          </w:tcPr>
          <w:p>
            <w:pPr>
              <w:overflowPunct w:val="0"/>
              <w:adjustRightInd w:val="0"/>
              <w:snapToGrid w:val="0"/>
              <w:spacing w:line="320" w:lineRule="exact"/>
              <w:textAlignment w:val="bottom"/>
              <w:rPr>
                <w:rFonts w:hint="eastAsia" w:ascii="宋体" w:hAnsi="宋体" w:eastAsia="宋体" w:cs="宋体"/>
                <w:bCs/>
                <w:sz w:val="21"/>
                <w:szCs w:val="21"/>
              </w:rPr>
            </w:pPr>
            <w:r>
              <w:rPr>
                <w:rFonts w:hint="eastAsia" w:ascii="宋体" w:hAnsi="宋体" w:eastAsia="宋体" w:cs="宋体"/>
                <w:bCs/>
                <w:sz w:val="21"/>
                <w:szCs w:val="21"/>
              </w:rPr>
              <w:t>以释放源为中心，半径为4.5m，地坪以上至封闭区底部的空间和距离封闭区外壁3m，顶部的垂直高度为4.5m的范围内可划为2区。用非燃烧体的实体墙隔开的无释放源的生产装置区，门窗位于爆炸危险区域内时可划为2区，门窗位于爆炸危险区域外时可划为非危险区。</w:t>
            </w:r>
          </w:p>
        </w:tc>
        <w:tc>
          <w:tcPr>
            <w:tcW w:w="719" w:type="dxa"/>
            <w:vAlign w:val="center"/>
          </w:tcPr>
          <w:p>
            <w:pPr>
              <w:overflowPunct w:val="0"/>
              <w:adjustRightInd w:val="0"/>
              <w:snapToGrid w:val="0"/>
              <w:spacing w:line="320" w:lineRule="exact"/>
              <w:jc w:val="center"/>
              <w:textAlignment w:val="bottom"/>
              <w:rPr>
                <w:rFonts w:hint="eastAsia" w:ascii="宋体" w:hAnsi="宋体" w:eastAsia="宋体" w:cs="宋体"/>
                <w:bCs/>
                <w:sz w:val="21"/>
                <w:szCs w:val="21"/>
              </w:rPr>
            </w:pPr>
            <w:r>
              <w:rPr>
                <w:rFonts w:hint="eastAsia" w:ascii="宋体" w:hAnsi="宋体" w:eastAsia="宋体" w:cs="宋体"/>
                <w:bCs/>
                <w:sz w:val="21"/>
                <w:szCs w:val="21"/>
              </w:rPr>
              <w:t>2区</w:t>
            </w:r>
          </w:p>
        </w:tc>
        <w:tc>
          <w:tcPr>
            <w:tcW w:w="997" w:type="dxa"/>
            <w:vMerge w:val="continue"/>
            <w:vAlign w:val="center"/>
          </w:tcPr>
          <w:p>
            <w:pPr>
              <w:widowControl/>
              <w:snapToGrid w:val="0"/>
              <w:spacing w:line="320" w:lineRule="exact"/>
              <w:rPr>
                <w:rFonts w:hint="eastAsia" w:ascii="宋体" w:hAnsi="宋体" w:eastAsia="宋体" w:cs="宋体"/>
                <w:sz w:val="21"/>
                <w:szCs w:val="21"/>
              </w:rPr>
            </w:pPr>
          </w:p>
        </w:tc>
      </w:tr>
      <w:bookmarkEnd w:id="279"/>
      <w:bookmarkEnd w:id="280"/>
      <w:bookmarkEnd w:id="281"/>
      <w:bookmarkEnd w:id="282"/>
      <w:bookmarkEnd w:id="283"/>
    </w:tbl>
    <w:p>
      <w:pPr>
        <w:spacing w:line="600" w:lineRule="exact"/>
        <w:rPr>
          <w:rFonts w:hint="eastAsia" w:ascii="宋体" w:hAnsi="宋体" w:eastAsia="宋体" w:cs="宋体"/>
          <w:b/>
          <w:bCs/>
          <w:kern w:val="44"/>
          <w:sz w:val="32"/>
          <w:szCs w:val="44"/>
        </w:rPr>
      </w:pPr>
      <w:r>
        <w:rPr>
          <w:rFonts w:hint="eastAsia" w:ascii="宋体" w:hAnsi="宋体" w:eastAsia="宋体" w:cs="宋体"/>
          <w:b/>
          <w:bCs/>
          <w:kern w:val="44"/>
          <w:sz w:val="32"/>
          <w:szCs w:val="44"/>
        </w:rPr>
        <w:br w:type="page"/>
      </w:r>
    </w:p>
    <w:p>
      <w:pPr>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宋体" w:hAnsi="宋体" w:eastAsia="宋体" w:cs="宋体"/>
          <w:b/>
          <w:bCs/>
          <w:kern w:val="44"/>
          <w:sz w:val="32"/>
          <w:szCs w:val="44"/>
        </w:rPr>
      </w:pPr>
      <w:bookmarkStart w:id="285" w:name="_Toc12781"/>
      <w:bookmarkStart w:id="286" w:name="_Toc29079"/>
      <w:r>
        <w:rPr>
          <w:rFonts w:hint="eastAsia" w:ascii="宋体" w:hAnsi="宋体" w:eastAsia="宋体" w:cs="宋体"/>
          <w:b/>
          <w:bCs/>
          <w:kern w:val="44"/>
          <w:sz w:val="32"/>
          <w:szCs w:val="44"/>
        </w:rPr>
        <w:t>4评价方法的选择及评价单元划分</w:t>
      </w:r>
      <w:bookmarkEnd w:id="284"/>
      <w:bookmarkEnd w:id="285"/>
      <w:bookmarkEnd w:id="286"/>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287" w:name="_Toc525109159"/>
      <w:bookmarkStart w:id="288" w:name="_Toc522"/>
      <w:bookmarkStart w:id="289" w:name="_Toc345084544"/>
      <w:bookmarkStart w:id="290" w:name="_Toc13095"/>
      <w:bookmarkStart w:id="291" w:name="_Toc21265"/>
      <w:bookmarkStart w:id="292" w:name="_Toc204429179"/>
      <w:r>
        <w:rPr>
          <w:rFonts w:hint="eastAsia" w:ascii="宋体" w:hAnsi="宋体" w:eastAsia="宋体" w:cs="宋体"/>
          <w:sz w:val="30"/>
          <w:szCs w:val="30"/>
        </w:rPr>
        <w:t>4.1划分评价单元及评价方法的确定</w:t>
      </w:r>
      <w:bookmarkEnd w:id="287"/>
      <w:bookmarkEnd w:id="288"/>
      <w:bookmarkEnd w:id="289"/>
      <w:bookmarkEnd w:id="290"/>
      <w:bookmarkEnd w:id="291"/>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4.1.1评价单元划分原则</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 xml:space="preserve">评价单元是装置的一个独立的组成部分。一是指布置上的相对独立性，即与装置的其它部分之间有一定的安全距离。二是指工艺上的不同性，即一个单元在一般情况下是一种工艺，通过将装置划分为不同类型的单元，可对其不同危险特性分别进行评价，根据评价结果，有针对性地采取不同的安全对策措施，从而在确保安全的前提下节省投资。 </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根据建设单位提供的有关技术资料和工程的现场调研资料，在工程主要危险、危害因素分析的基础上，按生产工艺功能、生产设施设备相对空间位置、危险有害因素类别及事故范围划分评价单元，使评价单元相对独立，具有明显的特征界限。</w:t>
      </w:r>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bookmarkStart w:id="293" w:name="_Toc226003643"/>
      <w:bookmarkStart w:id="294" w:name="_Toc238875807"/>
      <w:bookmarkStart w:id="295" w:name="_Toc239869716"/>
      <w:r>
        <w:rPr>
          <w:rFonts w:hint="eastAsia" w:ascii="宋体" w:hAnsi="宋体" w:eastAsia="宋体" w:cs="宋体"/>
          <w:b w:val="0"/>
          <w:szCs w:val="28"/>
        </w:rPr>
        <w:t>4.1.2确定本项目评价单元</w:t>
      </w:r>
      <w:bookmarkEnd w:id="293"/>
      <w:bookmarkEnd w:id="294"/>
      <w:bookmarkEnd w:id="295"/>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bookmarkStart w:id="296" w:name="_Toc226003645"/>
      <w:bookmarkStart w:id="297" w:name="_Toc238875809"/>
      <w:bookmarkStart w:id="298" w:name="_Toc239869718"/>
      <w:r>
        <w:rPr>
          <w:rFonts w:hint="eastAsia" w:ascii="宋体" w:hAnsi="宋体" w:eastAsia="宋体" w:cs="宋体"/>
          <w:szCs w:val="28"/>
        </w:rPr>
        <w:t>本评价报告以功能为主，同时兼顾了功能区与设施的相对独立性原则，根据本项目的具体情况分成如下评价单元：</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bookmarkStart w:id="299" w:name="_Toc239869717"/>
      <w:bookmarkStart w:id="300" w:name="_Toc222717897"/>
      <w:bookmarkStart w:id="301" w:name="_Toc216763681"/>
      <w:bookmarkStart w:id="302" w:name="_Toc345084545"/>
      <w:bookmarkStart w:id="303" w:name="_Toc301523870"/>
      <w:bookmarkStart w:id="304" w:name="_Toc263866388"/>
      <w:bookmarkStart w:id="305" w:name="_Toc216763361"/>
      <w:bookmarkStart w:id="306" w:name="_Toc226003644"/>
      <w:bookmarkStart w:id="307" w:name="_Toc238875808"/>
      <w:bookmarkStart w:id="308" w:name="_Toc194722965"/>
      <w:bookmarkStart w:id="309" w:name="_Toc222718914"/>
      <w:r>
        <w:rPr>
          <w:rFonts w:hint="eastAsia" w:ascii="宋体" w:hAnsi="宋体" w:eastAsia="宋体" w:cs="宋体"/>
          <w:szCs w:val="28"/>
        </w:rPr>
        <w:t>1）氨水储罐区、工艺装置单元</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2）公用工程及辅助设施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3）厂址、总平面布置及主要建(构)筑物</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4）安全管理</w:t>
      </w:r>
    </w:p>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310" w:name="_Toc525109160"/>
      <w:bookmarkStart w:id="311" w:name="_Toc4666"/>
      <w:bookmarkStart w:id="312" w:name="_Toc7801"/>
      <w:bookmarkStart w:id="313" w:name="_Toc18256"/>
      <w:r>
        <w:rPr>
          <w:rFonts w:hint="eastAsia" w:ascii="宋体" w:hAnsi="宋体" w:eastAsia="宋体" w:cs="宋体"/>
          <w:sz w:val="30"/>
          <w:szCs w:val="30"/>
        </w:rPr>
        <w:t>4.2评价单元划分及方法选择</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0"/>
        </w:rPr>
      </w:pPr>
      <w:bookmarkStart w:id="314" w:name="_Toc301523871"/>
      <w:r>
        <w:rPr>
          <w:rFonts w:hint="eastAsia" w:ascii="宋体" w:hAnsi="宋体" w:eastAsia="宋体" w:cs="宋体"/>
          <w:szCs w:val="20"/>
        </w:rPr>
        <w:t>本次评价根据公司的具体情况，确定评价单元的划分是以功能为主划分评价单元，然后以装置的特征来划分子单元。评价单元划分见表4.2-1。</w:t>
      </w:r>
    </w:p>
    <w:p>
      <w:pPr>
        <w:pageBreakBefore w:val="0"/>
        <w:widowControl w:val="0"/>
        <w:kinsoku/>
        <w:wordWrap/>
        <w:overflowPunct/>
        <w:topLinePunct w:val="0"/>
        <w:autoSpaceDE/>
        <w:autoSpaceDN/>
        <w:bidi w:val="0"/>
        <w:adjustRightInd/>
        <w:snapToGrid/>
        <w:spacing w:line="600" w:lineRule="exact"/>
        <w:ind w:firstLine="480" w:firstLineChars="200"/>
        <w:jc w:val="center"/>
        <w:textAlignment w:val="auto"/>
        <w:rPr>
          <w:rFonts w:hint="eastAsia" w:ascii="宋体" w:hAnsi="宋体" w:eastAsia="宋体" w:cs="宋体"/>
          <w:sz w:val="24"/>
        </w:rPr>
      </w:pPr>
      <w:r>
        <w:rPr>
          <w:rFonts w:hint="eastAsia" w:ascii="宋体" w:hAnsi="宋体" w:eastAsia="宋体" w:cs="宋体"/>
          <w:sz w:val="24"/>
        </w:rPr>
        <w:br w:type="page"/>
      </w:r>
      <w:r>
        <w:rPr>
          <w:rFonts w:hint="eastAsia" w:ascii="宋体" w:hAnsi="宋体" w:eastAsia="宋体" w:cs="宋体"/>
          <w:sz w:val="24"/>
        </w:rPr>
        <w:t>表4.2-1  评价单元划分表</w:t>
      </w:r>
    </w:p>
    <w:tbl>
      <w:tblPr>
        <w:tblStyle w:val="28"/>
        <w:tblW w:w="0" w:type="auto"/>
        <w:tblInd w:w="-10" w:type="dxa"/>
        <w:tblLayout w:type="fixed"/>
        <w:tblCellMar>
          <w:top w:w="0" w:type="dxa"/>
          <w:left w:w="0" w:type="dxa"/>
          <w:bottom w:w="0" w:type="dxa"/>
          <w:right w:w="0" w:type="dxa"/>
        </w:tblCellMar>
      </w:tblPr>
      <w:tblGrid>
        <w:gridCol w:w="580"/>
        <w:gridCol w:w="2459"/>
        <w:gridCol w:w="3573"/>
        <w:gridCol w:w="2592"/>
      </w:tblGrid>
      <w:tr>
        <w:tblPrEx>
          <w:tblCellMar>
            <w:top w:w="0" w:type="dxa"/>
            <w:left w:w="0" w:type="dxa"/>
            <w:bottom w:w="0" w:type="dxa"/>
            <w:right w:w="0" w:type="dxa"/>
          </w:tblCellMar>
        </w:tblPrEx>
        <w:trPr>
          <w:trHeight w:val="340" w:hRule="atLeast"/>
          <w:tblHeader/>
        </w:trPr>
        <w:tc>
          <w:tcPr>
            <w:tcW w:w="580"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序号</w:t>
            </w:r>
          </w:p>
        </w:tc>
        <w:tc>
          <w:tcPr>
            <w:tcW w:w="2459"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评价单元</w:t>
            </w: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子单元</w:t>
            </w:r>
          </w:p>
        </w:tc>
        <w:tc>
          <w:tcPr>
            <w:tcW w:w="2592"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选用的评价方法</w:t>
            </w:r>
          </w:p>
        </w:tc>
      </w:tr>
      <w:tr>
        <w:tblPrEx>
          <w:tblCellMar>
            <w:top w:w="0" w:type="dxa"/>
            <w:left w:w="0" w:type="dxa"/>
            <w:bottom w:w="0" w:type="dxa"/>
            <w:right w:w="0" w:type="dxa"/>
          </w:tblCellMar>
        </w:tblPrEx>
        <w:trPr>
          <w:trHeight w:val="340" w:hRule="atLeast"/>
        </w:trPr>
        <w:tc>
          <w:tcPr>
            <w:tcW w:w="580" w:type="dxa"/>
            <w:vMerge w:val="restart"/>
            <w:tcBorders>
              <w:top w:val="single" w:color="auto" w:sz="8" w:space="0"/>
              <w:left w:val="single" w:color="auto" w:sz="8" w:space="0"/>
              <w:right w:val="single" w:color="auto" w:sz="8" w:space="0"/>
            </w:tcBorders>
            <w:vAlign w:val="center"/>
          </w:tcPr>
          <w:p>
            <w:pPr>
              <w:autoSpaceDE w:val="0"/>
              <w:autoSpaceDN w:val="0"/>
              <w:ind w:firstLine="210" w:firstLineChars="100"/>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459" w:type="dxa"/>
            <w:vMerge w:val="restart"/>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安全管理</w:t>
            </w: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证照文书</w:t>
            </w:r>
          </w:p>
        </w:tc>
        <w:tc>
          <w:tcPr>
            <w:tcW w:w="2592" w:type="dxa"/>
            <w:vMerge w:val="restart"/>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安全检查表</w:t>
            </w: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安全管理制度</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安全管理组织</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从业人员</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安全投入及运行措施</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安全标志与安全色</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应急救援预案和事故调查</w:t>
            </w:r>
          </w:p>
        </w:tc>
        <w:tc>
          <w:tcPr>
            <w:tcW w:w="2592"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restart"/>
            <w:tcBorders>
              <w:top w:val="single" w:color="auto" w:sz="8" w:space="0"/>
              <w:left w:val="single" w:color="auto" w:sz="8" w:space="0"/>
              <w:right w:val="single" w:color="auto" w:sz="8" w:space="0"/>
            </w:tcBorders>
            <w:vAlign w:val="center"/>
          </w:tcPr>
          <w:p>
            <w:pPr>
              <w:autoSpaceDE w:val="0"/>
              <w:autoSpaceDN w:val="0"/>
              <w:ind w:firstLine="105" w:firstLineChars="50"/>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459" w:type="dxa"/>
            <w:vMerge w:val="restart"/>
            <w:tcBorders>
              <w:top w:val="single" w:color="auto" w:sz="8" w:space="0"/>
              <w:left w:val="single" w:color="auto" w:sz="8" w:space="0"/>
              <w:right w:val="single" w:color="auto" w:sz="8" w:space="0"/>
            </w:tcBorders>
            <w:vAlign w:val="center"/>
          </w:tcPr>
          <w:p>
            <w:pPr>
              <w:ind w:firstLine="420" w:firstLineChars="200"/>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厂址、总平面布置及主要建(构)筑物</w:t>
            </w:r>
          </w:p>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周边环境</w:t>
            </w:r>
          </w:p>
        </w:tc>
        <w:tc>
          <w:tcPr>
            <w:tcW w:w="2592" w:type="dxa"/>
            <w:vMerge w:val="restart"/>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安全检查表</w:t>
            </w: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规划布局</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总平面布置</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厂内道路</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常规防护设施</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1248" w:hRule="atLeast"/>
        </w:trPr>
        <w:tc>
          <w:tcPr>
            <w:tcW w:w="580" w:type="dxa"/>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459" w:type="dxa"/>
            <w:tcBorders>
              <w:top w:val="single" w:color="auto" w:sz="8" w:space="0"/>
              <w:left w:val="single" w:color="auto" w:sz="8" w:space="0"/>
              <w:right w:val="single" w:color="auto" w:sz="8" w:space="0"/>
            </w:tcBorders>
            <w:vAlign w:val="center"/>
          </w:tcPr>
          <w:p>
            <w:pPr>
              <w:rPr>
                <w:rFonts w:hint="eastAsia" w:ascii="宋体" w:hAnsi="宋体" w:eastAsia="宋体" w:cs="宋体"/>
                <w:sz w:val="21"/>
                <w:szCs w:val="21"/>
              </w:rPr>
            </w:pPr>
            <w:r>
              <w:rPr>
                <w:rFonts w:hint="eastAsia" w:ascii="宋体" w:hAnsi="宋体" w:eastAsia="宋体" w:cs="宋体"/>
                <w:sz w:val="21"/>
                <w:szCs w:val="21"/>
              </w:rPr>
              <w:t>储罐区、工艺装置单元</w:t>
            </w:r>
          </w:p>
          <w:p>
            <w:pPr>
              <w:autoSpaceDE w:val="0"/>
              <w:autoSpaceDN w:val="0"/>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膜回收主设备、水洗回收装备、氨水储罐</w:t>
            </w:r>
          </w:p>
        </w:tc>
        <w:tc>
          <w:tcPr>
            <w:tcW w:w="2592" w:type="dxa"/>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sz w:val="21"/>
                <w:szCs w:val="21"/>
              </w:rPr>
            </w:pPr>
            <w:r>
              <w:rPr>
                <w:rFonts w:hint="eastAsia" w:ascii="宋体" w:hAnsi="宋体" w:eastAsia="宋体" w:cs="宋体"/>
                <w:sz w:val="21"/>
                <w:szCs w:val="21"/>
              </w:rPr>
              <w:t>安全检查表、危险度评价、</w:t>
            </w:r>
          </w:p>
          <w:p>
            <w:pPr>
              <w:autoSpaceDE w:val="0"/>
              <w:autoSpaceDN w:val="0"/>
              <w:jc w:val="center"/>
              <w:rPr>
                <w:rFonts w:hint="eastAsia" w:ascii="宋体" w:hAnsi="宋体" w:eastAsia="宋体" w:cs="宋体"/>
                <w:kern w:val="0"/>
                <w:sz w:val="21"/>
                <w:szCs w:val="21"/>
              </w:rPr>
            </w:pPr>
            <w:r>
              <w:rPr>
                <w:rFonts w:hint="eastAsia" w:ascii="宋体" w:hAnsi="宋体" w:eastAsia="宋体" w:cs="宋体"/>
                <w:sz w:val="21"/>
                <w:szCs w:val="21"/>
              </w:rPr>
              <w:t>作业条件危险性分析评价</w:t>
            </w:r>
            <w:r>
              <w:rPr>
                <w:rFonts w:hint="eastAsia" w:ascii="宋体" w:hAnsi="宋体" w:eastAsia="宋体" w:cs="宋体"/>
                <w:kern w:val="0"/>
                <w:sz w:val="21"/>
                <w:szCs w:val="21"/>
              </w:rPr>
              <w:t>。</w:t>
            </w:r>
          </w:p>
        </w:tc>
      </w:tr>
      <w:tr>
        <w:tblPrEx>
          <w:tblCellMar>
            <w:top w:w="0" w:type="dxa"/>
            <w:left w:w="0" w:type="dxa"/>
            <w:bottom w:w="0" w:type="dxa"/>
            <w:right w:w="0" w:type="dxa"/>
          </w:tblCellMar>
        </w:tblPrEx>
        <w:trPr>
          <w:trHeight w:val="340" w:hRule="atLeast"/>
        </w:trPr>
        <w:tc>
          <w:tcPr>
            <w:tcW w:w="580" w:type="dxa"/>
            <w:vMerge w:val="restart"/>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459" w:type="dxa"/>
            <w:vMerge w:val="restart"/>
            <w:tcBorders>
              <w:top w:val="single" w:color="auto" w:sz="8" w:space="0"/>
              <w:left w:val="single" w:color="auto" w:sz="8" w:space="0"/>
              <w:right w:val="single" w:color="auto" w:sz="8" w:space="0"/>
            </w:tcBorders>
            <w:vAlign w:val="center"/>
          </w:tcPr>
          <w:p>
            <w:pPr>
              <w:autoSpaceDE w:val="0"/>
              <w:autoSpaceDN w:val="0"/>
              <w:rPr>
                <w:rFonts w:hint="eastAsia" w:ascii="宋体" w:hAnsi="宋体" w:eastAsia="宋体" w:cs="宋体"/>
                <w:kern w:val="0"/>
                <w:sz w:val="21"/>
                <w:szCs w:val="21"/>
              </w:rPr>
            </w:pPr>
            <w:r>
              <w:rPr>
                <w:rFonts w:hint="eastAsia" w:ascii="宋体" w:hAnsi="宋体" w:eastAsia="宋体" w:cs="宋体"/>
                <w:kern w:val="0"/>
                <w:sz w:val="21"/>
                <w:szCs w:val="21"/>
              </w:rPr>
              <w:t>公用工程与辅助设施</w:t>
            </w: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建筑与消防</w:t>
            </w:r>
          </w:p>
        </w:tc>
        <w:tc>
          <w:tcPr>
            <w:tcW w:w="2592" w:type="dxa"/>
            <w:vMerge w:val="restart"/>
            <w:tcBorders>
              <w:top w:val="single" w:color="auto" w:sz="8" w:space="0"/>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安全检查表</w:t>
            </w: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电气安全</w:t>
            </w:r>
          </w:p>
        </w:tc>
        <w:tc>
          <w:tcPr>
            <w:tcW w:w="2592" w:type="dxa"/>
            <w:vMerge w:val="continue"/>
            <w:tcBorders>
              <w:left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r>
        <w:tblPrEx>
          <w:tblCellMar>
            <w:top w:w="0" w:type="dxa"/>
            <w:left w:w="0" w:type="dxa"/>
            <w:bottom w:w="0" w:type="dxa"/>
            <w:right w:w="0" w:type="dxa"/>
          </w:tblCellMar>
        </w:tblPrEx>
        <w:trPr>
          <w:trHeight w:val="340" w:hRule="atLeast"/>
        </w:trPr>
        <w:tc>
          <w:tcPr>
            <w:tcW w:w="580"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2459"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c>
          <w:tcPr>
            <w:tcW w:w="3573" w:type="dxa"/>
            <w:tcBorders>
              <w:top w:val="single" w:color="auto" w:sz="8" w:space="0"/>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r>
              <w:rPr>
                <w:rFonts w:hint="eastAsia" w:ascii="宋体" w:hAnsi="宋体" w:eastAsia="宋体" w:cs="宋体"/>
                <w:kern w:val="0"/>
                <w:sz w:val="21"/>
                <w:szCs w:val="21"/>
              </w:rPr>
              <w:t>道路与运输</w:t>
            </w:r>
          </w:p>
        </w:tc>
        <w:tc>
          <w:tcPr>
            <w:tcW w:w="2592" w:type="dxa"/>
            <w:vMerge w:val="continue"/>
            <w:tcBorders>
              <w:left w:val="single" w:color="auto" w:sz="8" w:space="0"/>
              <w:bottom w:val="single" w:color="auto" w:sz="8" w:space="0"/>
              <w:right w:val="single" w:color="auto" w:sz="8" w:space="0"/>
            </w:tcBorders>
            <w:vAlign w:val="center"/>
          </w:tcPr>
          <w:p>
            <w:pPr>
              <w:autoSpaceDE w:val="0"/>
              <w:autoSpaceDN w:val="0"/>
              <w:jc w:val="center"/>
              <w:rPr>
                <w:rFonts w:hint="eastAsia" w:ascii="宋体" w:hAnsi="宋体" w:eastAsia="宋体" w:cs="宋体"/>
                <w:kern w:val="0"/>
                <w:sz w:val="21"/>
                <w:szCs w:val="21"/>
              </w:rPr>
            </w:pPr>
          </w:p>
        </w:tc>
      </w:tr>
    </w:tbl>
    <w:p>
      <w:pPr>
        <w:pStyle w:val="4"/>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30"/>
          <w:szCs w:val="30"/>
        </w:rPr>
      </w:pPr>
      <w:bookmarkStart w:id="315" w:name="_Toc345084546"/>
      <w:bookmarkStart w:id="316" w:name="_Toc525109161"/>
      <w:bookmarkStart w:id="317" w:name="_Toc19136"/>
      <w:bookmarkStart w:id="318" w:name="_Toc27379"/>
      <w:bookmarkStart w:id="319" w:name="_Toc9921"/>
      <w:r>
        <w:rPr>
          <w:rFonts w:hint="eastAsia" w:ascii="宋体" w:hAnsi="宋体" w:eastAsia="宋体" w:cs="宋体"/>
          <w:sz w:val="30"/>
          <w:szCs w:val="30"/>
        </w:rPr>
        <w:t>4.3评价方法简介</w:t>
      </w:r>
      <w:bookmarkEnd w:id="296"/>
      <w:bookmarkEnd w:id="297"/>
      <w:bookmarkEnd w:id="298"/>
      <w:bookmarkEnd w:id="314"/>
      <w:bookmarkEnd w:id="315"/>
      <w:bookmarkEnd w:id="316"/>
      <w:bookmarkEnd w:id="317"/>
      <w:bookmarkEnd w:id="318"/>
      <w:bookmarkEnd w:id="319"/>
    </w:p>
    <w:p>
      <w:pPr>
        <w:pStyle w:val="5"/>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szCs w:val="28"/>
        </w:rPr>
      </w:pPr>
      <w:bookmarkStart w:id="320" w:name="_Toc226003646"/>
      <w:bookmarkStart w:id="321" w:name="_Toc239869719"/>
      <w:bookmarkStart w:id="322" w:name="_Toc238875810"/>
      <w:r>
        <w:rPr>
          <w:rFonts w:hint="eastAsia" w:ascii="宋体" w:hAnsi="宋体" w:eastAsia="宋体" w:cs="宋体"/>
          <w:b w:val="0"/>
          <w:szCs w:val="28"/>
        </w:rPr>
        <w:t>4.3.1</w:t>
      </w:r>
      <w:bookmarkEnd w:id="320"/>
      <w:bookmarkEnd w:id="321"/>
      <w:bookmarkEnd w:id="322"/>
      <w:bookmarkStart w:id="323" w:name="_Toc263866391"/>
      <w:r>
        <w:rPr>
          <w:rFonts w:hint="eastAsia" w:ascii="宋体" w:hAnsi="宋体" w:eastAsia="宋体" w:cs="宋体"/>
          <w:b w:val="0"/>
          <w:szCs w:val="28"/>
        </w:rPr>
        <w:t>作业条件危险性评价法</w:t>
      </w:r>
      <w:bookmarkEnd w:id="323"/>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1、评价方法简介</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作业条件危险性评价法是一种简单易行的评价操作人员在具有潜在危险性环境中作业时的危险性的半定量评价方法。</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作业条件危险性评价法用与系统风险有关的三种因素指标值之积来评价操作人员伤亡风险大小，这三种因素是L：事故发生的可能性；E：人员暴露于危险环境中的频繁程度；C：一旦发生事故可能造成的后果。给三种因素的不同等级分别确定不同的分值，再以三个分值的乘积D来评价作业条件危险性的大小。即：D＝L×E×C。</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2、评价步骤</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评价步骤为：</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1）以类比作业条件比较为基础，由熟悉作业条件的人员组成评价小组；</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2）由评价小组成员按照标准给L、E、C分别打分，取各组的平均值作为L、E、C的计算分值，用计算的危险性分值D来评价作业条件的危险性等级。</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3、赋分标准</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1）事故发生的可能性（L）</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bCs/>
          <w:szCs w:val="28"/>
        </w:rPr>
      </w:pPr>
      <w:r>
        <w:rPr>
          <w:rFonts w:hint="eastAsia" w:ascii="宋体" w:hAnsi="宋体" w:eastAsia="宋体" w:cs="宋体"/>
          <w:szCs w:val="28"/>
        </w:rPr>
        <w:t>事故发生的可能性用概率来表示时，绝对不可能发生的事故频率为0，而必然发生的事故概率为1。然而，从系统安全的角度考虑，绝对不发生的事故是不可能的，所以人为地将发生事故的可能性极小的分值定为0.1，而必然要发生的事故的分值定为10，以此为基础介于这两者之间的指定为若干中间值。见表4.3-1。</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Cs/>
          <w:sz w:val="24"/>
        </w:rPr>
      </w:pPr>
      <w:r>
        <w:rPr>
          <w:rFonts w:hint="eastAsia" w:ascii="宋体" w:hAnsi="宋体" w:eastAsia="宋体" w:cs="宋体"/>
          <w:bCs/>
          <w:sz w:val="24"/>
        </w:rPr>
        <w:t>表4.3-1  事故或危险事件发生的可能性（L）</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3446"/>
        <w:gridCol w:w="1149"/>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125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4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事故或危险情况发生可能性</w:t>
            </w:r>
          </w:p>
        </w:tc>
        <w:tc>
          <w:tcPr>
            <w:tcW w:w="1149"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55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事故或危险情况发生可能性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125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10</w:t>
            </w:r>
          </w:p>
        </w:tc>
        <w:tc>
          <w:tcPr>
            <w:tcW w:w="34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完全会被预料到</w:t>
            </w:r>
          </w:p>
        </w:tc>
        <w:tc>
          <w:tcPr>
            <w:tcW w:w="1149"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0.5</w:t>
            </w:r>
          </w:p>
        </w:tc>
        <w:tc>
          <w:tcPr>
            <w:tcW w:w="355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可以设想，但高度不可能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125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34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相当可能</w:t>
            </w:r>
          </w:p>
        </w:tc>
        <w:tc>
          <w:tcPr>
            <w:tcW w:w="1149"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0.2</w:t>
            </w:r>
          </w:p>
        </w:tc>
        <w:tc>
          <w:tcPr>
            <w:tcW w:w="355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极不可能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125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34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不经常，但可能</w:t>
            </w:r>
          </w:p>
        </w:tc>
        <w:tc>
          <w:tcPr>
            <w:tcW w:w="1149"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0.1</w:t>
            </w:r>
          </w:p>
        </w:tc>
        <w:tc>
          <w:tcPr>
            <w:tcW w:w="355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实际上不可能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125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4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完全意外，极少可能</w:t>
            </w:r>
          </w:p>
        </w:tc>
        <w:tc>
          <w:tcPr>
            <w:tcW w:w="1149" w:type="dxa"/>
            <w:vAlign w:val="center"/>
          </w:tcPr>
          <w:p>
            <w:pPr>
              <w:spacing w:line="400" w:lineRule="exact"/>
              <w:jc w:val="center"/>
              <w:rPr>
                <w:rFonts w:hint="eastAsia" w:ascii="宋体" w:hAnsi="宋体" w:eastAsia="宋体" w:cs="宋体"/>
                <w:sz w:val="21"/>
                <w:szCs w:val="21"/>
              </w:rPr>
            </w:pPr>
          </w:p>
        </w:tc>
        <w:tc>
          <w:tcPr>
            <w:tcW w:w="3551" w:type="dxa"/>
            <w:vAlign w:val="center"/>
          </w:tcPr>
          <w:p>
            <w:pPr>
              <w:spacing w:line="400" w:lineRule="exact"/>
              <w:jc w:val="center"/>
              <w:rPr>
                <w:rFonts w:hint="eastAsia" w:ascii="宋体" w:hAnsi="宋体" w:eastAsia="宋体" w:cs="宋体"/>
                <w:sz w:val="21"/>
                <w:szCs w:val="21"/>
              </w:rPr>
            </w:pPr>
          </w:p>
        </w:tc>
      </w:tr>
    </w:tbl>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2）人员暴露于危险环境的频繁程度（E）</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人员暴露于危险环境中的时间越多，受到伤害的可能性越大，相应的危险性也越大。规定人员连续出现在危险环境的情况分值为10，而非常罕见地出现在危险环境中的情况分值为0.5，介于两者之间的各种情况规定若干个中间值。见表4.3-2。</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Cs/>
          <w:sz w:val="24"/>
        </w:rPr>
      </w:pPr>
      <w:r>
        <w:rPr>
          <w:rFonts w:hint="eastAsia" w:ascii="宋体" w:hAnsi="宋体" w:eastAsia="宋体" w:cs="宋体"/>
          <w:bCs/>
          <w:sz w:val="24"/>
        </w:rPr>
        <w:t>表4.3-2  人员暴露于危险环境的频繁程度（E）</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3126"/>
        <w:gridCol w:w="1246"/>
        <w:gridCol w:w="3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 w:hRule="atLeast"/>
        </w:trPr>
        <w:tc>
          <w:tcPr>
            <w:tcW w:w="1407"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12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　出现于危险环境的情况</w:t>
            </w:r>
          </w:p>
        </w:tc>
        <w:tc>
          <w:tcPr>
            <w:tcW w:w="12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62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出现于危险环境的情况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407"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10</w:t>
            </w:r>
          </w:p>
        </w:tc>
        <w:tc>
          <w:tcPr>
            <w:tcW w:w="312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连续暴露于潜在危险环境</w:t>
            </w:r>
          </w:p>
        </w:tc>
        <w:tc>
          <w:tcPr>
            <w:tcW w:w="12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362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每月暴露一次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407"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312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逐日在工作时间内暴露</w:t>
            </w:r>
          </w:p>
        </w:tc>
        <w:tc>
          <w:tcPr>
            <w:tcW w:w="12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62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每年几次出现在潜在危险环境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407"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312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每周一次或偶然地暴露</w:t>
            </w:r>
          </w:p>
        </w:tc>
        <w:tc>
          <w:tcPr>
            <w:tcW w:w="124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0.5</w:t>
            </w:r>
          </w:p>
        </w:tc>
        <w:tc>
          <w:tcPr>
            <w:tcW w:w="362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非常罕见地暴露</w:t>
            </w:r>
          </w:p>
        </w:tc>
      </w:tr>
    </w:tbl>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3）发生事故可能造成的后果（C）</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事故造成的人员伤亡和财产损失的范围变化很大，所以规定分数值为1－100。把需要治疗的轻微伤害或较小财产损失的分数值规定为1，造成多人死亡或重大财产损失的分数值规定为100，介于两者之间的情况规定若干个中间值。见表4.3-3。</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Cs/>
          <w:sz w:val="24"/>
        </w:rPr>
      </w:pPr>
      <w:r>
        <w:rPr>
          <w:rFonts w:hint="eastAsia" w:ascii="宋体" w:hAnsi="宋体" w:eastAsia="宋体" w:cs="宋体"/>
          <w:bCs/>
          <w:sz w:val="24"/>
        </w:rPr>
        <w:t>表4.3-3  发生事故或危险事件可能造成的后果（C）</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3871"/>
        <w:gridCol w:w="1105"/>
        <w:gridCol w:w="3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110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87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可能结果</w:t>
            </w:r>
          </w:p>
        </w:tc>
        <w:tc>
          <w:tcPr>
            <w:tcW w:w="1105"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可能结果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110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100</w:t>
            </w:r>
          </w:p>
        </w:tc>
        <w:tc>
          <w:tcPr>
            <w:tcW w:w="387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大灾难，许多人死亡</w:t>
            </w:r>
          </w:p>
        </w:tc>
        <w:tc>
          <w:tcPr>
            <w:tcW w:w="1105"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3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严重，严重伤害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110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40</w:t>
            </w:r>
          </w:p>
        </w:tc>
        <w:tc>
          <w:tcPr>
            <w:tcW w:w="387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灾难，数人死亡</w:t>
            </w:r>
          </w:p>
        </w:tc>
        <w:tc>
          <w:tcPr>
            <w:tcW w:w="1105"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3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重大，致残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110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15</w:t>
            </w:r>
          </w:p>
        </w:tc>
        <w:tc>
          <w:tcPr>
            <w:tcW w:w="3871"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非常严重，一人死亡</w:t>
            </w:r>
          </w:p>
        </w:tc>
        <w:tc>
          <w:tcPr>
            <w:tcW w:w="1105"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　引人注目，需要救护</w:t>
            </w:r>
          </w:p>
        </w:tc>
      </w:tr>
    </w:tbl>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4、危险等级划分标准</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根据经验，危险性分值在20分以下为低危险性，这样的危险比日常生活中骑自行车去上班还要安全些，当危险性分值在20～70时，则需要加以注意，如果危险性分值在70－160之间，有显著的危险性，需要采取措施整改；如果危险性分值在160－320之间，有高度危险性，必须立即整改；如果危险性分值大于320，极度危险，应立即停止作业，彻底整改。按危险性分值划分危险性等级的标准见表4.3-4。</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Cs/>
          <w:sz w:val="24"/>
        </w:rPr>
      </w:pPr>
      <w:r>
        <w:rPr>
          <w:rFonts w:hint="eastAsia" w:ascii="宋体" w:hAnsi="宋体" w:eastAsia="宋体" w:cs="宋体"/>
          <w:bCs/>
          <w:sz w:val="24"/>
        </w:rPr>
        <w:br w:type="page"/>
      </w:r>
      <w:r>
        <w:rPr>
          <w:rFonts w:hint="eastAsia" w:ascii="宋体" w:hAnsi="宋体" w:eastAsia="宋体" w:cs="宋体"/>
          <w:bCs/>
          <w:sz w:val="24"/>
        </w:rPr>
        <w:t>表4.3-4  危险性等级划分标准（D）</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3196"/>
        <w:gridCol w:w="1692"/>
        <w:gridCol w:w="3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 w:hRule="atLeast"/>
        </w:trPr>
        <w:tc>
          <w:tcPr>
            <w:tcW w:w="1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19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危险程度</w:t>
            </w:r>
          </w:p>
        </w:tc>
        <w:tc>
          <w:tcPr>
            <w:tcW w:w="1692"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分值</w:t>
            </w:r>
          </w:p>
        </w:tc>
        <w:tc>
          <w:tcPr>
            <w:tcW w:w="319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＞320</w:t>
            </w:r>
          </w:p>
        </w:tc>
        <w:tc>
          <w:tcPr>
            <w:tcW w:w="319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极其危险，不能继续作业</w:t>
            </w:r>
          </w:p>
        </w:tc>
        <w:tc>
          <w:tcPr>
            <w:tcW w:w="1692"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20－70</w:t>
            </w:r>
          </w:p>
        </w:tc>
        <w:tc>
          <w:tcPr>
            <w:tcW w:w="319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160－320</w:t>
            </w:r>
          </w:p>
        </w:tc>
        <w:tc>
          <w:tcPr>
            <w:tcW w:w="319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高度危险，需要立即整改</w:t>
            </w:r>
          </w:p>
        </w:tc>
        <w:tc>
          <w:tcPr>
            <w:tcW w:w="1692"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＜20</w:t>
            </w:r>
          </w:p>
        </w:tc>
        <w:tc>
          <w:tcPr>
            <w:tcW w:w="3194"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稍有危险，或许可以接受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1318"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70－160</w:t>
            </w:r>
          </w:p>
        </w:tc>
        <w:tc>
          <w:tcPr>
            <w:tcW w:w="3196" w:type="dxa"/>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显著危险，需要整改</w:t>
            </w:r>
          </w:p>
        </w:tc>
        <w:tc>
          <w:tcPr>
            <w:tcW w:w="1692" w:type="dxa"/>
            <w:vAlign w:val="center"/>
          </w:tcPr>
          <w:p>
            <w:pPr>
              <w:spacing w:line="400" w:lineRule="exact"/>
              <w:jc w:val="center"/>
              <w:rPr>
                <w:rFonts w:hint="eastAsia" w:ascii="宋体" w:hAnsi="宋体" w:eastAsia="宋体" w:cs="宋体"/>
                <w:sz w:val="21"/>
                <w:szCs w:val="21"/>
              </w:rPr>
            </w:pPr>
          </w:p>
        </w:tc>
        <w:tc>
          <w:tcPr>
            <w:tcW w:w="3194" w:type="dxa"/>
            <w:vAlign w:val="center"/>
          </w:tcPr>
          <w:p>
            <w:pPr>
              <w:spacing w:line="400" w:lineRule="exact"/>
              <w:jc w:val="center"/>
              <w:rPr>
                <w:rFonts w:hint="eastAsia" w:ascii="宋体" w:hAnsi="宋体" w:eastAsia="宋体" w:cs="宋体"/>
                <w:sz w:val="21"/>
                <w:szCs w:val="21"/>
              </w:rPr>
            </w:pPr>
          </w:p>
        </w:tc>
      </w:tr>
    </w:tbl>
    <w:p>
      <w:pPr>
        <w:pStyle w:val="5"/>
        <w:pageBreakBefore w:val="0"/>
        <w:kinsoku/>
        <w:wordWrap/>
        <w:overflowPunct/>
        <w:topLinePunct w:val="0"/>
        <w:autoSpaceDE/>
        <w:autoSpaceDN/>
        <w:bidi w:val="0"/>
        <w:spacing w:line="600" w:lineRule="exact"/>
        <w:jc w:val="both"/>
        <w:textAlignment w:val="auto"/>
        <w:rPr>
          <w:rFonts w:hint="eastAsia" w:ascii="宋体" w:hAnsi="宋体" w:eastAsia="宋体" w:cs="宋体"/>
          <w:b w:val="0"/>
          <w:szCs w:val="28"/>
        </w:rPr>
      </w:pPr>
      <w:r>
        <w:rPr>
          <w:rFonts w:hint="eastAsia" w:ascii="宋体" w:hAnsi="宋体" w:eastAsia="宋体" w:cs="宋体"/>
          <w:b w:val="0"/>
          <w:szCs w:val="28"/>
        </w:rPr>
        <w:t>4.3.2安全生产检查表法简介</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安全检查表分析是利用检查条款按照相关的法规、规范标准等对已知的危险类别、设计缺陷及与一般工艺设备、操作、管理有关的潜在危险性和有害性进行判别检查。</w:t>
      </w:r>
    </w:p>
    <w:p>
      <w:pPr>
        <w:pStyle w:val="23"/>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该方法适用于工程、系统的各个阶段。安全检查表可以评价物质、设备、工艺和管理。检查表法也可以对已经运行多年的在用装置的危险性检查。</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安全检查表编制依据：</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1）国家、行业有关标准、法规和规定</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2）同类企业有关安全管理经验</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3）以往事故案例</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4)企业提供的有关资料</w:t>
      </w:r>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该方法主要是符合性检查。</w:t>
      </w:r>
    </w:p>
    <w:bookmarkEnd w:id="292"/>
    <w:p>
      <w:pPr>
        <w:pStyle w:val="5"/>
        <w:pageBreakBefore w:val="0"/>
        <w:kinsoku/>
        <w:wordWrap/>
        <w:overflowPunct/>
        <w:topLinePunct w:val="0"/>
        <w:autoSpaceDE/>
        <w:autoSpaceDN/>
        <w:bidi w:val="0"/>
        <w:spacing w:line="600" w:lineRule="exact"/>
        <w:jc w:val="both"/>
        <w:textAlignment w:val="auto"/>
        <w:rPr>
          <w:rFonts w:hint="eastAsia" w:ascii="宋体" w:hAnsi="宋体" w:eastAsia="宋体" w:cs="宋体"/>
          <w:b w:val="0"/>
          <w:szCs w:val="28"/>
        </w:rPr>
      </w:pPr>
      <w:bookmarkStart w:id="324" w:name="_Toc349506735"/>
      <w:bookmarkStart w:id="325" w:name="_Toc303102527"/>
      <w:bookmarkStart w:id="326" w:name="_Toc263155265"/>
      <w:bookmarkStart w:id="327" w:name="_Toc304967312"/>
      <w:bookmarkStart w:id="328" w:name="_Toc329270231"/>
      <w:bookmarkStart w:id="329" w:name="_Toc226003653"/>
      <w:bookmarkStart w:id="330" w:name="_Toc342424401"/>
      <w:bookmarkStart w:id="331" w:name="_Toc238875818"/>
      <w:bookmarkStart w:id="332" w:name="_Toc239869721"/>
      <w:r>
        <w:rPr>
          <w:rFonts w:hint="eastAsia" w:ascii="宋体" w:hAnsi="宋体" w:eastAsia="宋体" w:cs="宋体"/>
          <w:b w:val="0"/>
          <w:szCs w:val="28"/>
        </w:rPr>
        <w:t>4.3.3危险度评价法</w:t>
      </w:r>
      <w:bookmarkEnd w:id="324"/>
      <w:bookmarkEnd w:id="325"/>
      <w:bookmarkEnd w:id="326"/>
      <w:bookmarkEnd w:id="327"/>
      <w:bookmarkEnd w:id="328"/>
      <w:bookmarkEnd w:id="329"/>
      <w:bookmarkEnd w:id="330"/>
      <w:bookmarkEnd w:id="331"/>
      <w:bookmarkEnd w:id="332"/>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危险度评价法是根据日本劳动省“六阶段法”的定量评价表，结合我国《石油化工企业设计防火规范》(GB50160-2008)、《压力容器中化学介质毒性危害和爆炸危险程度分类》(HG20660-2000)等有关标准、规程，编制了“危险度评价取值表”。规定单元危险度由物质、容量、温度、压力和操作5个项目共同确定。其危险性分别按A=10分，B=5分，C=2分，D=0分赋值计分，由累计分值确定单元危险度。危险度评价取值表见表4-2，危险度分级见表4.3-5。</w:t>
      </w:r>
    </w:p>
    <w:p>
      <w:pPr>
        <w:spacing w:line="600" w:lineRule="exact"/>
        <w:ind w:firstLine="493" w:firstLineChars="196"/>
        <w:jc w:val="center"/>
        <w:rPr>
          <w:rStyle w:val="43"/>
          <w:rFonts w:hint="eastAsia" w:ascii="宋体" w:hAnsi="宋体" w:eastAsia="宋体" w:cs="宋体"/>
        </w:rPr>
      </w:pPr>
      <w:r>
        <w:rPr>
          <w:rStyle w:val="43"/>
          <w:rFonts w:hint="eastAsia" w:ascii="宋体" w:hAnsi="宋体" w:eastAsia="宋体" w:cs="宋体"/>
        </w:rPr>
        <w:t>表4.3-5  危险度评价取值表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2096"/>
        <w:gridCol w:w="2256"/>
        <w:gridCol w:w="2256"/>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912" w:type="dxa"/>
            <w:tcBorders>
              <w:tl2br w:val="single" w:color="auto" w:sz="4" w:space="0"/>
            </w:tcBorders>
            <w:vAlign w:val="center"/>
          </w:tcPr>
          <w:p>
            <w:pPr>
              <w:spacing w:line="280" w:lineRule="exact"/>
              <w:ind w:firstLine="210" w:firstLineChars="100"/>
              <w:jc w:val="center"/>
              <w:rPr>
                <w:rFonts w:hint="eastAsia" w:ascii="宋体" w:hAnsi="宋体" w:eastAsia="宋体" w:cs="宋体"/>
                <w:sz w:val="21"/>
                <w:szCs w:val="21"/>
              </w:rPr>
            </w:pPr>
            <w:r>
              <w:rPr>
                <w:rFonts w:hint="eastAsia" w:ascii="宋体" w:hAnsi="宋体" w:eastAsia="宋体" w:cs="宋体"/>
                <w:sz w:val="21"/>
                <w:szCs w:val="21"/>
              </w:rPr>
              <w:t>分值项目</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A(10分)</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B(5分)</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C(2分)</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D(0分)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912"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物质</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甲类可燃气体；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甲</w:t>
            </w:r>
            <w:r>
              <w:rPr>
                <w:rFonts w:hint="eastAsia" w:ascii="宋体" w:hAnsi="宋体" w:eastAsia="宋体" w:cs="宋体"/>
                <w:sz w:val="21"/>
                <w:szCs w:val="21"/>
                <w:vertAlign w:val="subscript"/>
              </w:rPr>
              <w:t>A</w:t>
            </w:r>
            <w:r>
              <w:rPr>
                <w:rFonts w:hint="eastAsia" w:ascii="宋体" w:hAnsi="宋体" w:eastAsia="宋体" w:cs="宋体"/>
                <w:sz w:val="21"/>
                <w:szCs w:val="21"/>
              </w:rPr>
              <w:t>类物质及液态烃类；</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甲类固体；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极度危害介质</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乙类气体；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甲</w:t>
            </w:r>
            <w:r>
              <w:rPr>
                <w:rFonts w:hint="eastAsia" w:ascii="宋体" w:hAnsi="宋体" w:eastAsia="宋体" w:cs="宋体"/>
                <w:sz w:val="21"/>
                <w:szCs w:val="21"/>
                <w:vertAlign w:val="subscript"/>
              </w:rPr>
              <w:t>B</w:t>
            </w:r>
            <w:r>
              <w:rPr>
                <w:rFonts w:hint="eastAsia" w:ascii="宋体" w:hAnsi="宋体" w:eastAsia="宋体" w:cs="宋体"/>
                <w:sz w:val="21"/>
                <w:szCs w:val="21"/>
              </w:rPr>
              <w:t>、乙</w:t>
            </w:r>
            <w:r>
              <w:rPr>
                <w:rFonts w:hint="eastAsia" w:ascii="宋体" w:hAnsi="宋体" w:eastAsia="宋体" w:cs="宋体"/>
                <w:sz w:val="21"/>
                <w:szCs w:val="21"/>
                <w:vertAlign w:val="subscript"/>
              </w:rPr>
              <w:t>A</w:t>
            </w:r>
            <w:r>
              <w:rPr>
                <w:rFonts w:hint="eastAsia" w:ascii="宋体" w:hAnsi="宋体" w:eastAsia="宋体" w:cs="宋体"/>
                <w:sz w:val="21"/>
                <w:szCs w:val="21"/>
              </w:rPr>
              <w:t>类可燃液体；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乙类固体；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高度危害介质</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乙</w:t>
            </w:r>
            <w:r>
              <w:rPr>
                <w:rFonts w:hint="eastAsia" w:ascii="宋体" w:hAnsi="宋体" w:eastAsia="宋体" w:cs="宋体"/>
                <w:sz w:val="21"/>
                <w:szCs w:val="21"/>
                <w:vertAlign w:val="subscript"/>
              </w:rPr>
              <w:t>B</w:t>
            </w:r>
            <w:r>
              <w:rPr>
                <w:rFonts w:hint="eastAsia" w:ascii="宋体" w:hAnsi="宋体" w:eastAsia="宋体" w:cs="宋体"/>
                <w:sz w:val="21"/>
                <w:szCs w:val="21"/>
              </w:rPr>
              <w:t>、丙</w:t>
            </w:r>
            <w:r>
              <w:rPr>
                <w:rFonts w:hint="eastAsia" w:ascii="宋体" w:hAnsi="宋体" w:eastAsia="宋体" w:cs="宋体"/>
                <w:sz w:val="21"/>
                <w:szCs w:val="21"/>
                <w:vertAlign w:val="subscript"/>
              </w:rPr>
              <w:t>A</w:t>
            </w:r>
            <w:r>
              <w:rPr>
                <w:rFonts w:hint="eastAsia" w:ascii="宋体" w:hAnsi="宋体" w:eastAsia="宋体" w:cs="宋体"/>
                <w:sz w:val="21"/>
                <w:szCs w:val="21"/>
              </w:rPr>
              <w:t>、丙</w:t>
            </w:r>
            <w:r>
              <w:rPr>
                <w:rFonts w:hint="eastAsia" w:ascii="宋体" w:hAnsi="宋体" w:eastAsia="宋体" w:cs="宋体"/>
                <w:sz w:val="21"/>
                <w:szCs w:val="21"/>
                <w:vertAlign w:val="subscript"/>
              </w:rPr>
              <w:t>B</w:t>
            </w:r>
            <w:r>
              <w:rPr>
                <w:rFonts w:hint="eastAsia" w:ascii="宋体" w:hAnsi="宋体" w:eastAsia="宋体" w:cs="宋体"/>
                <w:sz w:val="21"/>
                <w:szCs w:val="21"/>
              </w:rPr>
              <w:t>类可燃液体；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丙类固体；</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中、轻度危害介质</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不属A、B、C项之物质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912"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容量</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气体1000m</w:t>
            </w:r>
            <w:r>
              <w:rPr>
                <w:rFonts w:hint="eastAsia" w:ascii="宋体" w:hAnsi="宋体" w:eastAsia="宋体" w:cs="宋体"/>
                <w:sz w:val="21"/>
                <w:szCs w:val="21"/>
                <w:vertAlign w:val="superscript"/>
              </w:rPr>
              <w:t>3</w:t>
            </w:r>
            <w:r>
              <w:rPr>
                <w:rFonts w:hint="eastAsia" w:ascii="宋体" w:hAnsi="宋体" w:eastAsia="宋体" w:cs="宋体"/>
                <w:sz w:val="21"/>
                <w:szCs w:val="21"/>
              </w:rPr>
              <w:t>以上</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液体100 m</w:t>
            </w:r>
            <w:r>
              <w:rPr>
                <w:rFonts w:hint="eastAsia" w:ascii="宋体" w:hAnsi="宋体" w:eastAsia="宋体" w:cs="宋体"/>
                <w:sz w:val="21"/>
                <w:szCs w:val="21"/>
                <w:vertAlign w:val="superscript"/>
              </w:rPr>
              <w:t>3</w:t>
            </w:r>
            <w:r>
              <w:rPr>
                <w:rFonts w:hint="eastAsia" w:ascii="宋体" w:hAnsi="宋体" w:eastAsia="宋体" w:cs="宋体"/>
                <w:sz w:val="21"/>
                <w:szCs w:val="21"/>
              </w:rPr>
              <w:t>以上</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气体500~1000 m</w:t>
            </w:r>
            <w:r>
              <w:rPr>
                <w:rFonts w:hint="eastAsia" w:ascii="宋体" w:hAnsi="宋体" w:eastAsia="宋体" w:cs="宋体"/>
                <w:sz w:val="21"/>
                <w:szCs w:val="21"/>
                <w:vertAlign w:val="superscript"/>
              </w:rPr>
              <w:t>3</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液体50~100 m</w:t>
            </w:r>
            <w:r>
              <w:rPr>
                <w:rFonts w:hint="eastAsia" w:ascii="宋体" w:hAnsi="宋体" w:eastAsia="宋体" w:cs="宋体"/>
                <w:sz w:val="21"/>
                <w:szCs w:val="21"/>
                <w:vertAlign w:val="superscript"/>
              </w:rPr>
              <w:t>3</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气体100~500 m</w:t>
            </w:r>
            <w:r>
              <w:rPr>
                <w:rFonts w:hint="eastAsia" w:ascii="宋体" w:hAnsi="宋体" w:eastAsia="宋体" w:cs="宋体"/>
                <w:sz w:val="21"/>
                <w:szCs w:val="21"/>
                <w:vertAlign w:val="superscript"/>
              </w:rPr>
              <w:t>3</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液体10~50 m</w:t>
            </w:r>
            <w:r>
              <w:rPr>
                <w:rFonts w:hint="eastAsia" w:ascii="宋体" w:hAnsi="宋体" w:eastAsia="宋体" w:cs="宋体"/>
                <w:sz w:val="21"/>
                <w:szCs w:val="21"/>
                <w:vertAlign w:val="superscript"/>
              </w:rPr>
              <w:t>3</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气体＜100 m</w:t>
            </w:r>
            <w:r>
              <w:rPr>
                <w:rFonts w:hint="eastAsia" w:ascii="宋体" w:hAnsi="宋体" w:eastAsia="宋体" w:cs="宋体"/>
                <w:sz w:val="21"/>
                <w:szCs w:val="21"/>
                <w:vertAlign w:val="superscript"/>
              </w:rPr>
              <w:t>3</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液体＜10 m</w:t>
            </w:r>
            <w:r>
              <w:rPr>
                <w:rFonts w:hint="eastAsia" w:ascii="宋体" w:hAnsi="宋体" w:eastAsia="宋体" w:cs="宋体"/>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912"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温度</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1000℃以上使用，其操作温度在燃点以上</w:t>
            </w:r>
          </w:p>
        </w:tc>
        <w:tc>
          <w:tcPr>
            <w:tcW w:w="2256" w:type="dxa"/>
            <w:vAlign w:val="center"/>
          </w:tcPr>
          <w:p>
            <w:pPr>
              <w:spacing w:line="280" w:lineRule="exact"/>
              <w:jc w:val="center"/>
              <w:rPr>
                <w:rFonts w:hint="eastAsia" w:ascii="宋体" w:hAnsi="宋体" w:eastAsia="宋体" w:cs="宋体"/>
                <w:spacing w:val="-8"/>
                <w:sz w:val="21"/>
                <w:szCs w:val="21"/>
              </w:rPr>
            </w:pPr>
            <w:r>
              <w:rPr>
                <w:rFonts w:hint="eastAsia" w:ascii="宋体" w:hAnsi="宋体" w:eastAsia="宋体" w:cs="宋体"/>
                <w:spacing w:val="-8"/>
                <w:sz w:val="21"/>
                <w:szCs w:val="21"/>
              </w:rPr>
              <w:t>1000℃以上使用，但操作温度在燃点以下；</w:t>
            </w:r>
          </w:p>
          <w:p>
            <w:pPr>
              <w:spacing w:line="280" w:lineRule="exact"/>
              <w:jc w:val="center"/>
              <w:rPr>
                <w:rFonts w:hint="eastAsia" w:ascii="宋体" w:hAnsi="宋体" w:eastAsia="宋体" w:cs="宋体"/>
                <w:spacing w:val="-8"/>
                <w:sz w:val="21"/>
                <w:szCs w:val="21"/>
              </w:rPr>
            </w:pPr>
            <w:r>
              <w:rPr>
                <w:rFonts w:hint="eastAsia" w:ascii="宋体" w:hAnsi="宋体" w:eastAsia="宋体" w:cs="宋体"/>
                <w:spacing w:val="-8"/>
                <w:sz w:val="21"/>
                <w:szCs w:val="21"/>
              </w:rPr>
              <w:t>在250~1000℃使用，其操作温度在燃点以上</w:t>
            </w:r>
          </w:p>
        </w:tc>
        <w:tc>
          <w:tcPr>
            <w:tcW w:w="2256" w:type="dxa"/>
            <w:vAlign w:val="center"/>
          </w:tcPr>
          <w:p>
            <w:pPr>
              <w:spacing w:line="280" w:lineRule="exact"/>
              <w:jc w:val="center"/>
              <w:rPr>
                <w:rFonts w:hint="eastAsia" w:ascii="宋体" w:hAnsi="宋体" w:eastAsia="宋体" w:cs="宋体"/>
                <w:spacing w:val="-8"/>
                <w:sz w:val="21"/>
                <w:szCs w:val="21"/>
              </w:rPr>
            </w:pPr>
            <w:r>
              <w:rPr>
                <w:rFonts w:hint="eastAsia" w:ascii="宋体" w:hAnsi="宋体" w:eastAsia="宋体" w:cs="宋体"/>
                <w:spacing w:val="-8"/>
                <w:sz w:val="21"/>
                <w:szCs w:val="21"/>
              </w:rPr>
              <w:t>在250~1000℃使用，但操作温度在燃点以下；</w:t>
            </w:r>
          </w:p>
          <w:p>
            <w:pPr>
              <w:spacing w:line="280" w:lineRule="exact"/>
              <w:jc w:val="center"/>
              <w:rPr>
                <w:rFonts w:hint="eastAsia" w:ascii="宋体" w:hAnsi="宋体" w:eastAsia="宋体" w:cs="宋体"/>
                <w:spacing w:val="-8"/>
                <w:sz w:val="21"/>
                <w:szCs w:val="21"/>
              </w:rPr>
            </w:pPr>
            <w:r>
              <w:rPr>
                <w:rFonts w:hint="eastAsia" w:ascii="宋体" w:hAnsi="宋体" w:eastAsia="宋体" w:cs="宋体"/>
                <w:spacing w:val="-8"/>
                <w:sz w:val="21"/>
                <w:szCs w:val="21"/>
              </w:rPr>
              <w:t>在低于在250℃使用，其操作温度在燃点以上</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在低于在250℃使用，其操作温度在燃点以下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912"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压力</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100MPa</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20~100 MPa</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1~20 MPa</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 MPa以下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912"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操作</w:t>
            </w:r>
          </w:p>
        </w:tc>
        <w:tc>
          <w:tcPr>
            <w:tcW w:w="209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临界放热和特别剧烈的反应操作</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在爆炸极限范围内或其附近操作</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中等放热反应；</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系统进入空气或不纯物质，可能发生危险的操作；</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使用粉状或雾状物质，有可能发生粉尘爆炸的操作</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单批式操作</w:t>
            </w:r>
          </w:p>
        </w:tc>
        <w:tc>
          <w:tcPr>
            <w:tcW w:w="225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轻微放热反应；</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在精制过程中伴有化学反应；</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单批式操作，但开始使用机械进行程序操作；</w:t>
            </w:r>
          </w:p>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有一定危险的操作</w:t>
            </w:r>
          </w:p>
        </w:tc>
        <w:tc>
          <w:tcPr>
            <w:tcW w:w="188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无危险的操作</w:t>
            </w:r>
          </w:p>
        </w:tc>
      </w:tr>
    </w:tbl>
    <w:p>
      <w:pPr>
        <w:ind w:firstLine="493" w:firstLineChars="196"/>
        <w:jc w:val="center"/>
        <w:rPr>
          <w:rStyle w:val="43"/>
          <w:rFonts w:hint="eastAsia" w:ascii="宋体" w:hAnsi="宋体" w:eastAsia="宋体" w:cs="宋体"/>
        </w:rPr>
      </w:pPr>
      <w:r>
        <w:rPr>
          <w:rStyle w:val="43"/>
          <w:rFonts w:hint="eastAsia" w:ascii="宋体" w:hAnsi="宋体" w:eastAsia="宋体" w:cs="宋体"/>
        </w:rPr>
        <w:t>表4.3-7  危险度分级表</w:t>
      </w:r>
    </w:p>
    <w:tbl>
      <w:tblPr>
        <w:tblStyle w:val="2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50"/>
        <w:gridCol w:w="2350"/>
        <w:gridCol w:w="2350"/>
        <w:gridCol w:w="23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350" w:type="dxa"/>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总分值</w:t>
            </w:r>
          </w:p>
        </w:tc>
        <w:tc>
          <w:tcPr>
            <w:tcW w:w="23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≥16分</w:t>
            </w:r>
          </w:p>
        </w:tc>
        <w:tc>
          <w:tcPr>
            <w:tcW w:w="23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11~15分</w:t>
            </w:r>
          </w:p>
        </w:tc>
        <w:tc>
          <w:tcPr>
            <w:tcW w:w="2350" w:type="dxa"/>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350" w:type="dxa"/>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等级</w:t>
            </w:r>
          </w:p>
        </w:tc>
        <w:tc>
          <w:tcPr>
            <w:tcW w:w="23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Ⅰ</w:t>
            </w:r>
          </w:p>
        </w:tc>
        <w:tc>
          <w:tcPr>
            <w:tcW w:w="23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Ⅱ</w:t>
            </w:r>
          </w:p>
        </w:tc>
        <w:tc>
          <w:tcPr>
            <w:tcW w:w="2350" w:type="dxa"/>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350" w:type="dxa"/>
            <w:tcBorders>
              <w:top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危险程度</w:t>
            </w:r>
          </w:p>
        </w:tc>
        <w:tc>
          <w:tcPr>
            <w:tcW w:w="23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高度危险</w:t>
            </w:r>
          </w:p>
        </w:tc>
        <w:tc>
          <w:tcPr>
            <w:tcW w:w="2350"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中度危险</w:t>
            </w:r>
          </w:p>
        </w:tc>
        <w:tc>
          <w:tcPr>
            <w:tcW w:w="2350" w:type="dxa"/>
            <w:tcBorders>
              <w:top w:val="single" w:color="auto" w:sz="4" w:space="0"/>
              <w:left w:val="single" w:color="auto" w:sz="4" w:space="0"/>
              <w:bottom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低度危险</w:t>
            </w:r>
          </w:p>
        </w:tc>
      </w:tr>
    </w:tbl>
    <w:p>
      <w:pPr>
        <w:pStyle w:val="3"/>
        <w:pageBreakBefore w:val="0"/>
        <w:kinsoku/>
        <w:wordWrap/>
        <w:overflowPunct/>
        <w:topLinePunct w:val="0"/>
        <w:autoSpaceDE/>
        <w:autoSpaceDN/>
        <w:bidi w:val="0"/>
        <w:spacing w:line="600" w:lineRule="exact"/>
        <w:textAlignment w:val="auto"/>
        <w:rPr>
          <w:rFonts w:hint="eastAsia" w:ascii="宋体" w:hAnsi="宋体" w:eastAsia="宋体" w:cs="宋体"/>
          <w:szCs w:val="32"/>
        </w:rPr>
      </w:pPr>
      <w:r>
        <w:rPr>
          <w:rFonts w:hint="eastAsia" w:ascii="宋体" w:hAnsi="宋体" w:eastAsia="宋体" w:cs="宋体"/>
          <w:szCs w:val="28"/>
        </w:rPr>
        <w:br w:type="page"/>
      </w:r>
      <w:bookmarkStart w:id="333" w:name="_Toc25567"/>
      <w:bookmarkStart w:id="334" w:name="_Toc26414"/>
      <w:bookmarkStart w:id="335" w:name="_Toc12632"/>
      <w:bookmarkStart w:id="336" w:name="_Toc2020"/>
      <w:bookmarkStart w:id="337" w:name="_Toc344"/>
      <w:r>
        <w:rPr>
          <w:rFonts w:hint="eastAsia" w:ascii="宋体" w:hAnsi="宋体" w:eastAsia="宋体" w:cs="宋体"/>
          <w:szCs w:val="32"/>
        </w:rPr>
        <w:t>5危险有害程度评价</w:t>
      </w:r>
      <w:bookmarkEnd w:id="333"/>
      <w:bookmarkEnd w:id="334"/>
      <w:bookmarkEnd w:id="335"/>
      <w:bookmarkEnd w:id="336"/>
      <w:bookmarkEnd w:id="337"/>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338" w:name="_Toc269801572"/>
      <w:bookmarkStart w:id="339" w:name="_Toc370801304"/>
      <w:bookmarkStart w:id="340" w:name="_Toc25014"/>
      <w:bookmarkStart w:id="341" w:name="_Toc486427809"/>
      <w:bookmarkStart w:id="342" w:name="_Toc32326"/>
      <w:bookmarkStart w:id="343" w:name="_Toc25188"/>
      <w:bookmarkStart w:id="344" w:name="_Toc796"/>
      <w:bookmarkStart w:id="345" w:name="_Toc16004"/>
      <w:r>
        <w:rPr>
          <w:rFonts w:hint="eastAsia" w:ascii="宋体" w:hAnsi="宋体" w:eastAsia="宋体" w:cs="宋体"/>
          <w:sz w:val="30"/>
          <w:szCs w:val="30"/>
        </w:rPr>
        <w:t>5.1</w:t>
      </w:r>
      <w:bookmarkEnd w:id="338"/>
      <w:bookmarkEnd w:id="339"/>
      <w:r>
        <w:rPr>
          <w:rFonts w:hint="eastAsia" w:ascii="宋体" w:hAnsi="宋体" w:eastAsia="宋体" w:cs="宋体"/>
          <w:sz w:val="30"/>
          <w:szCs w:val="30"/>
        </w:rPr>
        <w:t>固有的危险程度分析</w:t>
      </w:r>
      <w:bookmarkEnd w:id="340"/>
      <w:bookmarkEnd w:id="341"/>
      <w:bookmarkEnd w:id="342"/>
      <w:bookmarkEnd w:id="343"/>
      <w:bookmarkEnd w:id="344"/>
      <w:bookmarkEnd w:id="345"/>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通过本报告第三章主要危险有害性分析可知，该站涉及的氨气、氨水、氢气属于危险化学品，其中氨气属于易燃气体类别2、急性毒性-吸入,类别3*、皮肤腐蚀/刺激,类别1B、严重眼损伤/眼刺激,类别1；氨水属于皮肤腐蚀/刺激,类别1B、严重眼损伤/眼刺激,类别1；氢气属易燃气体,类别1。其化学品数量、状态、所在的作业场所（部位）、温度及压力见表5.1-1。</w:t>
      </w:r>
    </w:p>
    <w:p>
      <w:pPr>
        <w:pStyle w:val="19"/>
        <w:pageBreakBefore w:val="0"/>
        <w:widowControl w:val="0"/>
        <w:kinsoku/>
        <w:wordWrap/>
        <w:overflowPunct/>
        <w:topLinePunct w:val="0"/>
        <w:autoSpaceDE/>
        <w:autoSpaceDN/>
        <w:bidi w:val="0"/>
        <w:spacing w:before="0" w:beforeAutospacing="0" w:after="0" w:afterAutospacing="0" w:line="600" w:lineRule="exact"/>
        <w:ind w:firstLine="2595" w:firstLineChars="927"/>
        <w:jc w:val="both"/>
        <w:textAlignment w:val="auto"/>
        <w:rPr>
          <w:rFonts w:hint="eastAsia" w:ascii="宋体" w:hAnsi="宋体" w:eastAsia="宋体" w:cs="宋体"/>
          <w:b/>
          <w:sz w:val="28"/>
          <w:szCs w:val="28"/>
        </w:rPr>
      </w:pPr>
      <w:r>
        <w:rPr>
          <w:rFonts w:hint="eastAsia" w:ascii="宋体" w:hAnsi="宋体" w:eastAsia="宋体" w:cs="宋体"/>
          <w:b/>
          <w:sz w:val="28"/>
          <w:szCs w:val="28"/>
        </w:rPr>
        <w:t>表5.1-1  固有的危险特性数据表</w:t>
      </w:r>
    </w:p>
    <w:tbl>
      <w:tblPr>
        <w:tblStyle w:val="2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489"/>
        <w:gridCol w:w="1044"/>
        <w:gridCol w:w="1469"/>
        <w:gridCol w:w="1570"/>
        <w:gridCol w:w="1295"/>
        <w:gridCol w:w="1468"/>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510"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名称</w:t>
            </w:r>
          </w:p>
        </w:tc>
        <w:tc>
          <w:tcPr>
            <w:tcW w:w="263"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状态</w:t>
            </w:r>
          </w:p>
        </w:tc>
        <w:tc>
          <w:tcPr>
            <w:tcW w:w="562"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最大存有量（T）</w:t>
            </w:r>
          </w:p>
        </w:tc>
        <w:tc>
          <w:tcPr>
            <w:tcW w:w="791"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所在的作业场所（部位）</w:t>
            </w:r>
          </w:p>
        </w:tc>
        <w:tc>
          <w:tcPr>
            <w:tcW w:w="845"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危险特性</w:t>
            </w:r>
          </w:p>
        </w:tc>
        <w:tc>
          <w:tcPr>
            <w:tcW w:w="697"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温度</w:t>
            </w:r>
          </w:p>
        </w:tc>
        <w:tc>
          <w:tcPr>
            <w:tcW w:w="790"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工作压力</w:t>
            </w:r>
          </w:p>
        </w:tc>
        <w:tc>
          <w:tcPr>
            <w:tcW w:w="538" w:type="pct"/>
            <w:vAlign w:val="center"/>
          </w:tcPr>
          <w:p>
            <w:pPr>
              <w:spacing w:line="280" w:lineRule="exact"/>
              <w:jc w:val="center"/>
              <w:rPr>
                <w:rFonts w:hint="eastAsia" w:ascii="宋体" w:hAnsi="宋体" w:eastAsia="宋体" w:cs="宋体"/>
                <w:b/>
                <w:sz w:val="21"/>
                <w:szCs w:val="21"/>
              </w:rPr>
            </w:pPr>
            <w:r>
              <w:rPr>
                <w:rFonts w:hint="eastAsia" w:ascii="宋体" w:hAnsi="宋体" w:eastAsia="宋体" w:cs="宋体"/>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510"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氨气</w:t>
            </w:r>
          </w:p>
        </w:tc>
        <w:tc>
          <w:tcPr>
            <w:tcW w:w="263"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w:t>
            </w:r>
          </w:p>
        </w:tc>
        <w:tc>
          <w:tcPr>
            <w:tcW w:w="562" w:type="pct"/>
            <w:vAlign w:val="center"/>
          </w:tcPr>
          <w:p>
            <w:pPr>
              <w:spacing w:line="280" w:lineRule="exact"/>
              <w:jc w:val="center"/>
              <w:rPr>
                <w:rFonts w:hint="eastAsia" w:ascii="宋体" w:hAnsi="宋体" w:eastAsia="宋体" w:cs="宋体"/>
                <w:sz w:val="21"/>
                <w:szCs w:val="21"/>
                <w:vertAlign w:val="superscript"/>
              </w:rPr>
            </w:pPr>
            <w:r>
              <w:rPr>
                <w:rFonts w:hint="eastAsia" w:ascii="宋体" w:hAnsi="宋体" w:eastAsia="宋体" w:cs="宋体"/>
                <w:sz w:val="21"/>
                <w:szCs w:val="21"/>
              </w:rPr>
              <w:t>0.01</w:t>
            </w:r>
          </w:p>
        </w:tc>
        <w:tc>
          <w:tcPr>
            <w:tcW w:w="791"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氨气回收装置管道</w:t>
            </w:r>
          </w:p>
        </w:tc>
        <w:tc>
          <w:tcPr>
            <w:tcW w:w="845" w:type="pct"/>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火灾爆炸、中毒与窒息等</w:t>
            </w:r>
          </w:p>
        </w:tc>
        <w:tc>
          <w:tcPr>
            <w:tcW w:w="697" w:type="pct"/>
            <w:vAlign w:val="center"/>
          </w:tcPr>
          <w:p>
            <w:pPr>
              <w:pStyle w:val="66"/>
              <w:spacing w:line="280" w:lineRule="exact"/>
              <w:rPr>
                <w:rFonts w:hint="eastAsia" w:ascii="宋体" w:hAnsi="宋体" w:eastAsia="宋体" w:cs="宋体"/>
                <w:sz w:val="21"/>
                <w:szCs w:val="21"/>
              </w:rPr>
            </w:pPr>
            <w:r>
              <w:rPr>
                <w:rFonts w:hint="eastAsia" w:ascii="宋体" w:hAnsi="宋体" w:eastAsia="宋体" w:cs="宋体"/>
                <w:sz w:val="21"/>
                <w:szCs w:val="21"/>
              </w:rPr>
              <w:t>50</w:t>
            </w:r>
            <w:r>
              <w:rPr>
                <w:rFonts w:hint="eastAsia" w:ascii="宋体" w:hAnsi="宋体" w:eastAsia="宋体" w:cs="宋体"/>
                <w:spacing w:val="-8"/>
                <w:sz w:val="21"/>
                <w:szCs w:val="21"/>
              </w:rPr>
              <w:t>℃</w:t>
            </w:r>
          </w:p>
        </w:tc>
        <w:tc>
          <w:tcPr>
            <w:tcW w:w="790"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微负压</w:t>
            </w:r>
          </w:p>
        </w:tc>
        <w:tc>
          <w:tcPr>
            <w:tcW w:w="53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乙类可燃气体，高度危害介质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510"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氢气</w:t>
            </w:r>
          </w:p>
        </w:tc>
        <w:tc>
          <w:tcPr>
            <w:tcW w:w="263"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气体</w:t>
            </w:r>
          </w:p>
        </w:tc>
        <w:tc>
          <w:tcPr>
            <w:tcW w:w="56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0.002</w:t>
            </w:r>
          </w:p>
        </w:tc>
        <w:tc>
          <w:tcPr>
            <w:tcW w:w="791"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氨气回收装置管道</w:t>
            </w:r>
          </w:p>
        </w:tc>
        <w:tc>
          <w:tcPr>
            <w:tcW w:w="845" w:type="pct"/>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火灾爆炸</w:t>
            </w:r>
          </w:p>
        </w:tc>
        <w:tc>
          <w:tcPr>
            <w:tcW w:w="697" w:type="pct"/>
            <w:vAlign w:val="center"/>
          </w:tcPr>
          <w:p>
            <w:pPr>
              <w:pStyle w:val="66"/>
              <w:spacing w:line="280" w:lineRule="exact"/>
              <w:rPr>
                <w:rFonts w:hint="eastAsia" w:ascii="宋体" w:hAnsi="宋体" w:eastAsia="宋体" w:cs="宋体"/>
                <w:sz w:val="21"/>
                <w:szCs w:val="21"/>
              </w:rPr>
            </w:pPr>
            <w:r>
              <w:rPr>
                <w:rFonts w:hint="eastAsia" w:ascii="宋体" w:hAnsi="宋体" w:eastAsia="宋体" w:cs="宋体"/>
                <w:sz w:val="21"/>
                <w:szCs w:val="21"/>
              </w:rPr>
              <w:t>50</w:t>
            </w:r>
            <w:r>
              <w:rPr>
                <w:rFonts w:hint="eastAsia" w:ascii="宋体" w:hAnsi="宋体" w:eastAsia="宋体" w:cs="宋体"/>
                <w:spacing w:val="-8"/>
                <w:sz w:val="21"/>
                <w:szCs w:val="21"/>
              </w:rPr>
              <w:t>℃</w:t>
            </w:r>
          </w:p>
        </w:tc>
        <w:tc>
          <w:tcPr>
            <w:tcW w:w="790"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微负压</w:t>
            </w:r>
          </w:p>
        </w:tc>
        <w:tc>
          <w:tcPr>
            <w:tcW w:w="53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甲类可燃气体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510"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氨水</w:t>
            </w:r>
          </w:p>
        </w:tc>
        <w:tc>
          <w:tcPr>
            <w:tcW w:w="263"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液体</w:t>
            </w:r>
          </w:p>
        </w:tc>
        <w:tc>
          <w:tcPr>
            <w:tcW w:w="562"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450</w:t>
            </w:r>
          </w:p>
        </w:tc>
        <w:tc>
          <w:tcPr>
            <w:tcW w:w="791"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113露天设备区二（氨水储罐）</w:t>
            </w:r>
          </w:p>
        </w:tc>
        <w:tc>
          <w:tcPr>
            <w:tcW w:w="845" w:type="pct"/>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火灾爆炸、中毒与窒息等</w:t>
            </w:r>
          </w:p>
        </w:tc>
        <w:tc>
          <w:tcPr>
            <w:tcW w:w="697" w:type="pct"/>
            <w:vAlign w:val="center"/>
          </w:tcPr>
          <w:p>
            <w:pPr>
              <w:pStyle w:val="66"/>
              <w:spacing w:line="280" w:lineRule="exact"/>
              <w:rPr>
                <w:rFonts w:hint="eastAsia" w:ascii="宋体" w:hAnsi="宋体" w:eastAsia="宋体" w:cs="宋体"/>
                <w:spacing w:val="-8"/>
                <w:sz w:val="21"/>
                <w:szCs w:val="21"/>
              </w:rPr>
            </w:pPr>
            <w:r>
              <w:rPr>
                <w:rFonts w:hint="eastAsia" w:ascii="宋体" w:hAnsi="宋体" w:eastAsia="宋体" w:cs="宋体"/>
                <w:spacing w:val="-8"/>
                <w:sz w:val="21"/>
                <w:szCs w:val="21"/>
              </w:rPr>
              <w:t>常温</w:t>
            </w:r>
          </w:p>
        </w:tc>
        <w:tc>
          <w:tcPr>
            <w:tcW w:w="790" w:type="pct"/>
            <w:vAlign w:val="center"/>
          </w:tcPr>
          <w:p>
            <w:pPr>
              <w:spacing w:line="280" w:lineRule="exact"/>
              <w:jc w:val="center"/>
              <w:rPr>
                <w:rFonts w:hint="eastAsia" w:ascii="宋体" w:hAnsi="宋体" w:eastAsia="宋体" w:cs="宋体"/>
                <w:spacing w:val="-8"/>
                <w:sz w:val="21"/>
                <w:szCs w:val="21"/>
              </w:rPr>
            </w:pPr>
            <w:r>
              <w:rPr>
                <w:rFonts w:hint="eastAsia" w:ascii="宋体" w:hAnsi="宋体" w:eastAsia="宋体" w:cs="宋体"/>
                <w:spacing w:val="-8"/>
                <w:sz w:val="21"/>
                <w:szCs w:val="21"/>
              </w:rPr>
              <w:t>常压</w:t>
            </w:r>
          </w:p>
        </w:tc>
        <w:tc>
          <w:tcPr>
            <w:tcW w:w="538" w:type="pc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轻度危害介质</w:t>
            </w:r>
          </w:p>
        </w:tc>
      </w:tr>
    </w:tbl>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346" w:name="_Toc30294"/>
      <w:bookmarkStart w:id="347" w:name="_Toc10823"/>
      <w:bookmarkStart w:id="348" w:name="_Toc14824"/>
      <w:bookmarkStart w:id="349" w:name="_Toc486427810"/>
      <w:bookmarkStart w:id="350" w:name="_Toc15856"/>
      <w:bookmarkStart w:id="351" w:name="_Toc14620"/>
      <w:r>
        <w:rPr>
          <w:rFonts w:hint="eastAsia" w:ascii="宋体" w:hAnsi="宋体" w:eastAsia="宋体" w:cs="宋体"/>
          <w:sz w:val="30"/>
          <w:szCs w:val="30"/>
        </w:rPr>
        <w:t>5.2危险度分析评价</w:t>
      </w:r>
      <w:bookmarkEnd w:id="346"/>
      <w:bookmarkEnd w:id="347"/>
      <w:bookmarkEnd w:id="348"/>
      <w:bookmarkEnd w:id="349"/>
      <w:bookmarkEnd w:id="350"/>
      <w:bookmarkEnd w:id="351"/>
    </w:p>
    <w:p>
      <w:pPr>
        <w:pageBreakBefore w:val="0"/>
        <w:kinsoku/>
        <w:wordWrap/>
        <w:overflowPunct/>
        <w:topLinePunct w:val="0"/>
        <w:autoSpaceDE/>
        <w:autoSpaceDN/>
        <w:bidi w:val="0"/>
        <w:spacing w:line="600" w:lineRule="exact"/>
        <w:textAlignment w:val="auto"/>
        <w:rPr>
          <w:rFonts w:hint="eastAsia" w:ascii="宋体" w:hAnsi="宋体" w:eastAsia="宋体" w:cs="宋体"/>
          <w:szCs w:val="28"/>
        </w:rPr>
      </w:pPr>
      <w:r>
        <w:rPr>
          <w:rFonts w:hint="eastAsia" w:ascii="宋体" w:hAnsi="宋体" w:eastAsia="宋体" w:cs="宋体"/>
          <w:szCs w:val="28"/>
        </w:rPr>
        <w:t xml:space="preserve">     本评价单元为104外延芯片厂房（氨气回收装置）、114露天设备区二（氨水储罐）作业区单元。</w:t>
      </w:r>
    </w:p>
    <w:p>
      <w:pPr>
        <w:pageBreakBefore w:val="0"/>
        <w:widowControl/>
        <w:kinsoku/>
        <w:wordWrap/>
        <w:overflowPunct/>
        <w:topLinePunct w:val="0"/>
        <w:autoSpaceDE/>
        <w:autoSpaceDN/>
        <w:bidi w:val="0"/>
        <w:spacing w:line="600" w:lineRule="exact"/>
        <w:ind w:firstLine="560" w:firstLineChars="200"/>
        <w:jc w:val="center"/>
        <w:textAlignment w:val="auto"/>
        <w:rPr>
          <w:rFonts w:hint="eastAsia" w:ascii="宋体" w:hAnsi="宋体" w:eastAsia="宋体" w:cs="宋体"/>
          <w:szCs w:val="28"/>
        </w:rPr>
      </w:pPr>
      <w:r>
        <w:rPr>
          <w:rFonts w:hint="eastAsia" w:ascii="宋体" w:hAnsi="宋体" w:eastAsia="宋体" w:cs="宋体"/>
          <w:b/>
          <w:kern w:val="0"/>
          <w:szCs w:val="28"/>
        </w:rPr>
        <w:t>表5-2  危险度评价取值表</w:t>
      </w:r>
    </w:p>
    <w:tbl>
      <w:tblPr>
        <w:tblStyle w:val="28"/>
        <w:tblW w:w="555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580"/>
        <w:gridCol w:w="1778"/>
        <w:gridCol w:w="993"/>
        <w:gridCol w:w="953"/>
        <w:gridCol w:w="908"/>
        <w:gridCol w:w="979"/>
        <w:gridCol w:w="979"/>
        <w:gridCol w:w="977"/>
        <w:gridCol w:w="979"/>
        <w:gridCol w:w="97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9" w:hRule="atLeast"/>
          <w:jc w:val="center"/>
        </w:trPr>
        <w:tc>
          <w:tcPr>
            <w:tcW w:w="287"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序号</w:t>
            </w:r>
          </w:p>
        </w:tc>
        <w:tc>
          <w:tcPr>
            <w:tcW w:w="879"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评价单元</w:t>
            </w:r>
          </w:p>
        </w:tc>
        <w:tc>
          <w:tcPr>
            <w:tcW w:w="491"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物质</w:t>
            </w:r>
          </w:p>
          <w:p>
            <w:pPr>
              <w:pStyle w:val="67"/>
              <w:spacing w:line="280" w:lineRule="exact"/>
              <w:rPr>
                <w:rFonts w:hint="eastAsia" w:ascii="宋体" w:hAnsi="宋体" w:eastAsia="宋体" w:cs="宋体"/>
                <w:b/>
                <w:bCs/>
              </w:rPr>
            </w:pPr>
            <w:r>
              <w:rPr>
                <w:rFonts w:hint="eastAsia" w:ascii="宋体" w:hAnsi="宋体" w:eastAsia="宋体" w:cs="宋体"/>
                <w:b/>
                <w:bCs/>
              </w:rPr>
              <w:t>评分</w:t>
            </w:r>
          </w:p>
        </w:tc>
        <w:tc>
          <w:tcPr>
            <w:tcW w:w="471"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容量</w:t>
            </w:r>
          </w:p>
          <w:p>
            <w:pPr>
              <w:pStyle w:val="67"/>
              <w:spacing w:line="280" w:lineRule="exact"/>
              <w:rPr>
                <w:rFonts w:hint="eastAsia" w:ascii="宋体" w:hAnsi="宋体" w:eastAsia="宋体" w:cs="宋体"/>
                <w:b/>
                <w:bCs/>
              </w:rPr>
            </w:pPr>
            <w:r>
              <w:rPr>
                <w:rFonts w:hint="eastAsia" w:ascii="宋体" w:hAnsi="宋体" w:eastAsia="宋体" w:cs="宋体"/>
                <w:b/>
                <w:bCs/>
              </w:rPr>
              <w:t>评分</w:t>
            </w:r>
          </w:p>
        </w:tc>
        <w:tc>
          <w:tcPr>
            <w:tcW w:w="449"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温度</w:t>
            </w:r>
          </w:p>
          <w:p>
            <w:pPr>
              <w:pStyle w:val="67"/>
              <w:spacing w:line="280" w:lineRule="exact"/>
              <w:rPr>
                <w:rFonts w:hint="eastAsia" w:ascii="宋体" w:hAnsi="宋体" w:eastAsia="宋体" w:cs="宋体"/>
                <w:b/>
                <w:bCs/>
              </w:rPr>
            </w:pPr>
            <w:r>
              <w:rPr>
                <w:rFonts w:hint="eastAsia" w:ascii="宋体" w:hAnsi="宋体" w:eastAsia="宋体" w:cs="宋体"/>
                <w:b/>
                <w:bCs/>
              </w:rPr>
              <w:t>评分</w:t>
            </w:r>
          </w:p>
        </w:tc>
        <w:tc>
          <w:tcPr>
            <w:tcW w:w="484"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压力</w:t>
            </w:r>
          </w:p>
          <w:p>
            <w:pPr>
              <w:pStyle w:val="67"/>
              <w:spacing w:line="280" w:lineRule="exact"/>
              <w:rPr>
                <w:rFonts w:hint="eastAsia" w:ascii="宋体" w:hAnsi="宋体" w:eastAsia="宋体" w:cs="宋体"/>
                <w:b/>
                <w:bCs/>
              </w:rPr>
            </w:pPr>
            <w:r>
              <w:rPr>
                <w:rFonts w:hint="eastAsia" w:ascii="宋体" w:hAnsi="宋体" w:eastAsia="宋体" w:cs="宋体"/>
                <w:b/>
                <w:bCs/>
              </w:rPr>
              <w:t>评分</w:t>
            </w:r>
          </w:p>
        </w:tc>
        <w:tc>
          <w:tcPr>
            <w:tcW w:w="484"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操作</w:t>
            </w:r>
          </w:p>
          <w:p>
            <w:pPr>
              <w:pStyle w:val="67"/>
              <w:spacing w:line="280" w:lineRule="exact"/>
              <w:rPr>
                <w:rFonts w:hint="eastAsia" w:ascii="宋体" w:hAnsi="宋体" w:eastAsia="宋体" w:cs="宋体"/>
                <w:b/>
                <w:bCs/>
              </w:rPr>
            </w:pPr>
            <w:r>
              <w:rPr>
                <w:rFonts w:hint="eastAsia" w:ascii="宋体" w:hAnsi="宋体" w:eastAsia="宋体" w:cs="宋体"/>
                <w:b/>
                <w:bCs/>
              </w:rPr>
              <w:t>评分</w:t>
            </w:r>
          </w:p>
        </w:tc>
        <w:tc>
          <w:tcPr>
            <w:tcW w:w="483"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总分</w:t>
            </w:r>
          </w:p>
        </w:tc>
        <w:tc>
          <w:tcPr>
            <w:tcW w:w="484"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危险</w:t>
            </w:r>
          </w:p>
          <w:p>
            <w:pPr>
              <w:pStyle w:val="67"/>
              <w:spacing w:line="280" w:lineRule="exact"/>
              <w:rPr>
                <w:rFonts w:hint="eastAsia" w:ascii="宋体" w:hAnsi="宋体" w:eastAsia="宋体" w:cs="宋体"/>
                <w:b/>
                <w:bCs/>
              </w:rPr>
            </w:pPr>
            <w:r>
              <w:rPr>
                <w:rFonts w:hint="eastAsia" w:ascii="宋体" w:hAnsi="宋体" w:eastAsia="宋体" w:cs="宋体"/>
                <w:b/>
                <w:bCs/>
              </w:rPr>
              <w:t>等级</w:t>
            </w:r>
          </w:p>
        </w:tc>
        <w:tc>
          <w:tcPr>
            <w:tcW w:w="484" w:type="pct"/>
            <w:tcMar>
              <w:top w:w="0" w:type="dxa"/>
              <w:left w:w="0" w:type="dxa"/>
              <w:bottom w:w="0" w:type="dxa"/>
              <w:right w:w="0" w:type="dxa"/>
            </w:tcMar>
            <w:vAlign w:val="center"/>
          </w:tcPr>
          <w:p>
            <w:pPr>
              <w:pStyle w:val="67"/>
              <w:spacing w:line="280" w:lineRule="exact"/>
              <w:rPr>
                <w:rFonts w:hint="eastAsia" w:ascii="宋体" w:hAnsi="宋体" w:eastAsia="宋体" w:cs="宋体"/>
                <w:b/>
                <w:bCs/>
              </w:rPr>
            </w:pPr>
            <w:r>
              <w:rPr>
                <w:rFonts w:hint="eastAsia" w:ascii="宋体" w:hAnsi="宋体" w:eastAsia="宋体" w:cs="宋体"/>
                <w:b/>
                <w:bCs/>
              </w:rPr>
              <w:t>危险程度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jc w:val="center"/>
        </w:trPr>
        <w:tc>
          <w:tcPr>
            <w:tcW w:w="287"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1</w:t>
            </w:r>
          </w:p>
        </w:tc>
        <w:tc>
          <w:tcPr>
            <w:tcW w:w="879" w:type="pct"/>
            <w:tcMar>
              <w:left w:w="0" w:type="dxa"/>
              <w:right w:w="0" w:type="dxa"/>
            </w:tcMar>
            <w:vAlign w:val="center"/>
          </w:tcPr>
          <w:p>
            <w:pPr>
              <w:spacing w:line="280" w:lineRule="exact"/>
              <w:jc w:val="center"/>
              <w:rPr>
                <w:rFonts w:hint="eastAsia" w:ascii="宋体" w:hAnsi="宋体" w:eastAsia="宋体" w:cs="宋体"/>
              </w:rPr>
            </w:pPr>
            <w:r>
              <w:rPr>
                <w:rFonts w:hint="eastAsia" w:ascii="宋体" w:hAnsi="宋体" w:eastAsia="宋体" w:cs="宋体"/>
                <w:sz w:val="21"/>
                <w:szCs w:val="21"/>
              </w:rPr>
              <w:t>104外延芯片厂房（氨气回收装置）</w:t>
            </w:r>
          </w:p>
        </w:tc>
        <w:tc>
          <w:tcPr>
            <w:tcW w:w="491"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10</w:t>
            </w:r>
          </w:p>
        </w:tc>
        <w:tc>
          <w:tcPr>
            <w:tcW w:w="471"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49"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3"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10</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Ⅲ</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szCs w:val="21"/>
              </w:rPr>
              <w:t>低度危险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jc w:val="center"/>
        </w:trPr>
        <w:tc>
          <w:tcPr>
            <w:tcW w:w="287"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2</w:t>
            </w:r>
          </w:p>
        </w:tc>
        <w:tc>
          <w:tcPr>
            <w:tcW w:w="879" w:type="pct"/>
            <w:tcMar>
              <w:left w:w="0" w:type="dxa"/>
              <w:right w:w="0" w:type="dxa"/>
            </w:tcMar>
            <w:vAlign w:val="center"/>
          </w:tcPr>
          <w:p>
            <w:pPr>
              <w:spacing w:line="280" w:lineRule="exact"/>
              <w:jc w:val="center"/>
              <w:rPr>
                <w:rFonts w:hint="eastAsia" w:ascii="宋体" w:hAnsi="宋体" w:eastAsia="宋体" w:cs="宋体"/>
              </w:rPr>
            </w:pPr>
            <w:r>
              <w:rPr>
                <w:rFonts w:hint="eastAsia" w:ascii="宋体" w:hAnsi="宋体" w:eastAsia="宋体" w:cs="宋体"/>
                <w:sz w:val="21"/>
                <w:szCs w:val="21"/>
              </w:rPr>
              <w:t>113露天设备区二（氨水储罐）</w:t>
            </w:r>
          </w:p>
        </w:tc>
        <w:tc>
          <w:tcPr>
            <w:tcW w:w="491"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2</w:t>
            </w:r>
          </w:p>
        </w:tc>
        <w:tc>
          <w:tcPr>
            <w:tcW w:w="471"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10</w:t>
            </w:r>
          </w:p>
        </w:tc>
        <w:tc>
          <w:tcPr>
            <w:tcW w:w="449"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0</w:t>
            </w:r>
          </w:p>
        </w:tc>
        <w:tc>
          <w:tcPr>
            <w:tcW w:w="483"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12</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rPr>
              <w:t>Ⅲ</w:t>
            </w:r>
          </w:p>
        </w:tc>
        <w:tc>
          <w:tcPr>
            <w:tcW w:w="484" w:type="pct"/>
            <w:tcMar>
              <w:left w:w="0" w:type="dxa"/>
              <w:right w:w="0" w:type="dxa"/>
            </w:tcMar>
            <w:vAlign w:val="center"/>
          </w:tcPr>
          <w:p>
            <w:pPr>
              <w:pStyle w:val="67"/>
              <w:spacing w:line="280" w:lineRule="exact"/>
              <w:rPr>
                <w:rFonts w:hint="eastAsia" w:ascii="宋体" w:hAnsi="宋体" w:eastAsia="宋体" w:cs="宋体"/>
              </w:rPr>
            </w:pPr>
            <w:r>
              <w:rPr>
                <w:rFonts w:hint="eastAsia" w:ascii="宋体" w:hAnsi="宋体" w:eastAsia="宋体" w:cs="宋体"/>
                <w:szCs w:val="21"/>
              </w:rPr>
              <w:t>中度危险</w:t>
            </w:r>
          </w:p>
        </w:tc>
      </w:tr>
    </w:tbl>
    <w:p>
      <w:pPr>
        <w:pStyle w:val="4"/>
        <w:spacing w:line="600" w:lineRule="exact"/>
        <w:jc w:val="left"/>
        <w:rPr>
          <w:rFonts w:hint="eastAsia" w:ascii="宋体" w:hAnsi="宋体" w:eastAsia="宋体" w:cs="宋体"/>
        </w:rPr>
      </w:pPr>
      <w:bookmarkStart w:id="352" w:name="_Toc25606"/>
      <w:bookmarkStart w:id="353" w:name="_Toc10289"/>
      <w:bookmarkStart w:id="354" w:name="_Toc3198"/>
      <w:bookmarkStart w:id="355" w:name="_Toc30031"/>
      <w:r>
        <w:rPr>
          <w:rFonts w:hint="eastAsia" w:ascii="宋体" w:hAnsi="宋体" w:eastAsia="宋体" w:cs="宋体"/>
        </w:rPr>
        <w:t>5.3作业条件危险性评价法</w:t>
      </w:r>
      <w:bookmarkEnd w:id="352"/>
      <w:bookmarkEnd w:id="353"/>
    </w:p>
    <w:p>
      <w:pPr>
        <w:jc w:val="center"/>
        <w:rPr>
          <w:rFonts w:hint="eastAsia" w:ascii="宋体" w:hAnsi="宋体" w:eastAsia="宋体" w:cs="宋体"/>
          <w:kern w:val="10"/>
          <w:sz w:val="24"/>
        </w:rPr>
      </w:pPr>
    </w:p>
    <w:p>
      <w:pPr>
        <w:jc w:val="center"/>
        <w:rPr>
          <w:rFonts w:hint="eastAsia" w:ascii="宋体" w:hAnsi="宋体" w:eastAsia="宋体" w:cs="宋体"/>
          <w:kern w:val="10"/>
          <w:sz w:val="24"/>
        </w:rPr>
      </w:pPr>
      <w:r>
        <w:rPr>
          <w:rFonts w:hint="eastAsia" w:ascii="宋体" w:hAnsi="宋体" w:eastAsia="宋体" w:cs="宋体"/>
          <w:kern w:val="10"/>
          <w:sz w:val="24"/>
        </w:rPr>
        <w:t>表5-3  各单元危险评价表</w:t>
      </w:r>
    </w:p>
    <w:tbl>
      <w:tblPr>
        <w:tblStyle w:val="28"/>
        <w:tblW w:w="9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467"/>
        <w:gridCol w:w="2196"/>
        <w:gridCol w:w="650"/>
        <w:gridCol w:w="668"/>
        <w:gridCol w:w="585"/>
        <w:gridCol w:w="882"/>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 w:hRule="atLeast"/>
        </w:trPr>
        <w:tc>
          <w:tcPr>
            <w:tcW w:w="552" w:type="dxa"/>
            <w:vMerge w:val="restar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467" w:type="dxa"/>
            <w:vMerge w:val="restar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评价单元</w:t>
            </w:r>
          </w:p>
        </w:tc>
        <w:tc>
          <w:tcPr>
            <w:tcW w:w="2196" w:type="dxa"/>
            <w:vMerge w:val="restar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危险源及潜在危险</w:t>
            </w:r>
          </w:p>
        </w:tc>
        <w:tc>
          <w:tcPr>
            <w:tcW w:w="2785" w:type="dxa"/>
            <w:gridSpan w:val="4"/>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D＝L×E×C</w:t>
            </w:r>
          </w:p>
        </w:tc>
        <w:tc>
          <w:tcPr>
            <w:tcW w:w="2380" w:type="dxa"/>
            <w:vMerge w:val="restar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危险等级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 w:hRule="atLeast"/>
        </w:trPr>
        <w:tc>
          <w:tcPr>
            <w:tcW w:w="552" w:type="dxa"/>
            <w:vMerge w:val="continue"/>
            <w:vAlign w:val="center"/>
          </w:tcPr>
          <w:p>
            <w:pPr>
              <w:widowControl/>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Merge w:val="continue"/>
            <w:vAlign w:val="center"/>
          </w:tcPr>
          <w:p>
            <w:pPr>
              <w:widowControl/>
              <w:spacing w:line="240" w:lineRule="exact"/>
              <w:jc w:val="center"/>
              <w:rPr>
                <w:rFonts w:hint="eastAsia" w:ascii="宋体" w:hAnsi="宋体" w:eastAsia="宋体" w:cs="宋体"/>
                <w:sz w:val="21"/>
                <w:szCs w:val="21"/>
              </w:rPr>
            </w:pP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L</w:t>
            </w:r>
          </w:p>
        </w:tc>
        <w:tc>
          <w:tcPr>
            <w:tcW w:w="668"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E</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C</w:t>
            </w:r>
          </w:p>
        </w:tc>
        <w:tc>
          <w:tcPr>
            <w:tcW w:w="882"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D</w:t>
            </w:r>
          </w:p>
        </w:tc>
        <w:tc>
          <w:tcPr>
            <w:tcW w:w="2380" w:type="dxa"/>
            <w:vMerge w:val="continue"/>
            <w:vAlign w:val="center"/>
          </w:tcPr>
          <w:p>
            <w:pPr>
              <w:widowControl/>
              <w:spacing w:line="24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552" w:type="dxa"/>
            <w:vMerge w:val="restart"/>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1467" w:type="dxa"/>
            <w:vMerge w:val="restar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104外延芯片厂房（氨气回收装置）</w:t>
            </w:r>
          </w:p>
        </w:tc>
        <w:tc>
          <w:tcPr>
            <w:tcW w:w="2196"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机械伤害</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668"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882"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稍有危险，可以接受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552" w:type="dxa"/>
            <w:vMerge w:val="continue"/>
            <w:vAlign w:val="center"/>
          </w:tcPr>
          <w:p>
            <w:pPr>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电气伤害</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0.5</w:t>
            </w:r>
          </w:p>
        </w:tc>
        <w:tc>
          <w:tcPr>
            <w:tcW w:w="668"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21</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552" w:type="dxa"/>
            <w:vMerge w:val="continue"/>
            <w:vAlign w:val="center"/>
          </w:tcPr>
          <w:p>
            <w:pPr>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物体打击</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0.5</w:t>
            </w:r>
          </w:p>
        </w:tc>
        <w:tc>
          <w:tcPr>
            <w:tcW w:w="668"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21</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trPr>
        <w:tc>
          <w:tcPr>
            <w:tcW w:w="552" w:type="dxa"/>
            <w:vMerge w:val="continue"/>
            <w:vAlign w:val="center"/>
          </w:tcPr>
          <w:p>
            <w:pPr>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中毒窒息</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668"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42</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552" w:type="dxa"/>
            <w:vMerge w:val="continue"/>
            <w:vAlign w:val="center"/>
          </w:tcPr>
          <w:p>
            <w:pPr>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腐蚀</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668"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42</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trPr>
        <w:tc>
          <w:tcPr>
            <w:tcW w:w="552" w:type="dxa"/>
            <w:vMerge w:val="continue"/>
            <w:vAlign w:val="center"/>
          </w:tcPr>
          <w:p>
            <w:pPr>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火灾、爆炸</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668"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42</w:t>
            </w:r>
          </w:p>
        </w:tc>
        <w:tc>
          <w:tcPr>
            <w:tcW w:w="238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552" w:type="dxa"/>
            <w:vMerge w:val="continue"/>
            <w:vAlign w:val="center"/>
          </w:tcPr>
          <w:p>
            <w:pPr>
              <w:widowControl/>
              <w:spacing w:line="240" w:lineRule="exact"/>
              <w:jc w:val="center"/>
              <w:rPr>
                <w:rFonts w:hint="eastAsia" w:ascii="宋体" w:hAnsi="宋体" w:eastAsia="宋体" w:cs="宋体"/>
                <w:sz w:val="21"/>
                <w:szCs w:val="21"/>
              </w:rPr>
            </w:pPr>
          </w:p>
        </w:tc>
        <w:tc>
          <w:tcPr>
            <w:tcW w:w="1467" w:type="dxa"/>
            <w:vMerge w:val="continue"/>
            <w:vAlign w:val="center"/>
          </w:tcPr>
          <w:p>
            <w:pPr>
              <w:widowControl/>
              <w:spacing w:line="240" w:lineRule="exact"/>
              <w:jc w:val="center"/>
              <w:rPr>
                <w:rFonts w:hint="eastAsia" w:ascii="宋体" w:hAnsi="宋体" w:eastAsia="宋体" w:cs="宋体"/>
                <w:sz w:val="21"/>
                <w:szCs w:val="21"/>
              </w:rPr>
            </w:pPr>
          </w:p>
        </w:tc>
        <w:tc>
          <w:tcPr>
            <w:tcW w:w="2196"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噪声</w:t>
            </w:r>
          </w:p>
        </w:tc>
        <w:tc>
          <w:tcPr>
            <w:tcW w:w="650" w:type="dxa"/>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0.5</w:t>
            </w:r>
          </w:p>
        </w:tc>
        <w:tc>
          <w:tcPr>
            <w:tcW w:w="668"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882"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9</w:t>
            </w:r>
          </w:p>
        </w:tc>
        <w:tc>
          <w:tcPr>
            <w:tcW w:w="2380" w:type="dxa"/>
            <w:vAlign w:val="center"/>
          </w:tcPr>
          <w:p>
            <w:pPr>
              <w:widowControl/>
              <w:spacing w:line="240" w:lineRule="exact"/>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552" w:type="dxa"/>
            <w:vMerge w:val="restart"/>
            <w:vAlign w:val="center"/>
          </w:tcPr>
          <w:p>
            <w:pPr>
              <w:widowControl/>
              <w:jc w:val="center"/>
              <w:rPr>
                <w:rFonts w:hint="eastAsia" w:ascii="宋体" w:hAnsi="宋体" w:eastAsia="宋体" w:cs="宋体"/>
                <w:sz w:val="21"/>
                <w:szCs w:val="21"/>
              </w:rPr>
            </w:pPr>
            <w:r>
              <w:rPr>
                <w:rFonts w:hint="eastAsia" w:ascii="宋体" w:hAnsi="宋体" w:eastAsia="宋体" w:cs="宋体"/>
                <w:sz w:val="21"/>
                <w:szCs w:val="21"/>
              </w:rPr>
              <w:t>2</w:t>
            </w:r>
          </w:p>
        </w:tc>
        <w:tc>
          <w:tcPr>
            <w:tcW w:w="1467" w:type="dxa"/>
            <w:vMerge w:val="restart"/>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113露天设备区二（氨水储罐）</w:t>
            </w:r>
          </w:p>
        </w:tc>
        <w:tc>
          <w:tcPr>
            <w:tcW w:w="219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火灾爆炸</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0.5</w:t>
            </w:r>
          </w:p>
        </w:tc>
        <w:tc>
          <w:tcPr>
            <w:tcW w:w="66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88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21</w:t>
            </w:r>
          </w:p>
        </w:tc>
        <w:tc>
          <w:tcPr>
            <w:tcW w:w="238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552" w:type="dxa"/>
            <w:vMerge w:val="continue"/>
            <w:vAlign w:val="center"/>
          </w:tcPr>
          <w:p>
            <w:pPr>
              <w:widowControl/>
              <w:jc w:val="center"/>
              <w:rPr>
                <w:rFonts w:hint="eastAsia" w:ascii="宋体" w:hAnsi="宋体" w:eastAsia="宋体" w:cs="宋体"/>
                <w:sz w:val="21"/>
                <w:szCs w:val="21"/>
              </w:rPr>
            </w:pPr>
          </w:p>
        </w:tc>
        <w:tc>
          <w:tcPr>
            <w:tcW w:w="1467" w:type="dxa"/>
            <w:vMerge w:val="continue"/>
            <w:vAlign w:val="center"/>
          </w:tcPr>
          <w:p>
            <w:pPr>
              <w:jc w:val="center"/>
              <w:rPr>
                <w:rFonts w:hint="eastAsia" w:ascii="宋体" w:hAnsi="宋体" w:eastAsia="宋体" w:cs="宋体"/>
                <w:sz w:val="21"/>
                <w:szCs w:val="21"/>
              </w:rPr>
            </w:pPr>
          </w:p>
        </w:tc>
        <w:tc>
          <w:tcPr>
            <w:tcW w:w="219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中毒窒息</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0.5</w:t>
            </w:r>
          </w:p>
        </w:tc>
        <w:tc>
          <w:tcPr>
            <w:tcW w:w="66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58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15</w:t>
            </w:r>
          </w:p>
        </w:tc>
        <w:tc>
          <w:tcPr>
            <w:tcW w:w="88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45</w:t>
            </w:r>
          </w:p>
        </w:tc>
        <w:tc>
          <w:tcPr>
            <w:tcW w:w="238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一般危险，需要注意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552" w:type="dxa"/>
            <w:vMerge w:val="continue"/>
            <w:vAlign w:val="center"/>
          </w:tcPr>
          <w:p>
            <w:pPr>
              <w:widowControl/>
              <w:jc w:val="center"/>
              <w:rPr>
                <w:rFonts w:hint="eastAsia" w:ascii="宋体" w:hAnsi="宋体" w:eastAsia="宋体" w:cs="宋体"/>
                <w:sz w:val="21"/>
                <w:szCs w:val="21"/>
              </w:rPr>
            </w:pPr>
          </w:p>
        </w:tc>
        <w:tc>
          <w:tcPr>
            <w:tcW w:w="1467" w:type="dxa"/>
            <w:vMerge w:val="continue"/>
            <w:vAlign w:val="center"/>
          </w:tcPr>
          <w:p>
            <w:pPr>
              <w:jc w:val="center"/>
              <w:rPr>
                <w:rFonts w:hint="eastAsia" w:ascii="宋体" w:hAnsi="宋体" w:eastAsia="宋体" w:cs="宋体"/>
                <w:sz w:val="21"/>
                <w:szCs w:val="21"/>
              </w:rPr>
            </w:pPr>
          </w:p>
        </w:tc>
        <w:tc>
          <w:tcPr>
            <w:tcW w:w="219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车辆伤害</w:t>
            </w:r>
          </w:p>
        </w:tc>
        <w:tc>
          <w:tcPr>
            <w:tcW w:w="65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0.2</w:t>
            </w:r>
          </w:p>
        </w:tc>
        <w:tc>
          <w:tcPr>
            <w:tcW w:w="66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58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15</w:t>
            </w:r>
          </w:p>
        </w:tc>
        <w:tc>
          <w:tcPr>
            <w:tcW w:w="88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238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稍有危险，可以接受</w:t>
            </w:r>
          </w:p>
        </w:tc>
      </w:tr>
    </w:tbl>
    <w:p>
      <w:pPr>
        <w:rPr>
          <w:rFonts w:hint="eastAsia" w:ascii="宋体" w:hAnsi="宋体" w:eastAsia="宋体" w:cs="宋体"/>
        </w:rPr>
      </w:pPr>
    </w:p>
    <w:p>
      <w:pPr>
        <w:pStyle w:val="3"/>
        <w:pageBreakBefore w:val="0"/>
        <w:kinsoku/>
        <w:wordWrap/>
        <w:overflowPunct/>
        <w:topLinePunct w:val="0"/>
        <w:autoSpaceDE/>
        <w:autoSpaceDN/>
        <w:bidi w:val="0"/>
        <w:spacing w:line="600" w:lineRule="exact"/>
        <w:textAlignment w:val="auto"/>
        <w:rPr>
          <w:rFonts w:hint="eastAsia" w:ascii="宋体" w:hAnsi="宋体" w:eastAsia="宋体" w:cs="宋体"/>
          <w:szCs w:val="32"/>
        </w:rPr>
      </w:pPr>
      <w:r>
        <w:rPr>
          <w:rFonts w:hint="eastAsia" w:ascii="宋体" w:hAnsi="宋体" w:eastAsia="宋体" w:cs="宋体"/>
        </w:rPr>
        <w:br w:type="page"/>
      </w:r>
      <w:bookmarkEnd w:id="354"/>
      <w:bookmarkEnd w:id="355"/>
      <w:bookmarkStart w:id="356" w:name="_Toc30325"/>
      <w:bookmarkStart w:id="357" w:name="_Toc8390"/>
      <w:bookmarkStart w:id="358" w:name="_Toc9837"/>
      <w:bookmarkStart w:id="359" w:name="_Toc24170"/>
      <w:bookmarkStart w:id="360" w:name="_Toc7881"/>
      <w:r>
        <w:rPr>
          <w:rFonts w:hint="eastAsia" w:ascii="宋体" w:hAnsi="宋体" w:eastAsia="宋体" w:cs="宋体"/>
          <w:szCs w:val="32"/>
        </w:rPr>
        <w:t>6 经营单位前置条件符合性评价</w:t>
      </w:r>
      <w:bookmarkEnd w:id="356"/>
      <w:bookmarkEnd w:id="357"/>
      <w:bookmarkEnd w:id="358"/>
      <w:bookmarkEnd w:id="359"/>
      <w:bookmarkEnd w:id="360"/>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28"/>
          <w:szCs w:val="28"/>
        </w:rPr>
      </w:pPr>
      <w:bookmarkStart w:id="361" w:name="_Toc4748"/>
      <w:bookmarkStart w:id="362" w:name="_Toc3626"/>
      <w:r>
        <w:rPr>
          <w:rFonts w:hint="eastAsia" w:ascii="宋体" w:hAnsi="宋体" w:eastAsia="宋体" w:cs="宋体"/>
        </w:rPr>
        <w:t>6.1危险化学品经营单位安全评价现场检查表</w:t>
      </w:r>
      <w:bookmarkEnd w:id="361"/>
      <w:bookmarkEnd w:id="362"/>
    </w:p>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危险化学品经营单位安全检查表见表6.1-1</w:t>
      </w:r>
    </w:p>
    <w:p>
      <w:pPr>
        <w:pageBreakBefore w:val="0"/>
        <w:kinsoku/>
        <w:wordWrap/>
        <w:overflowPunct/>
        <w:topLinePunct w:val="0"/>
        <w:autoSpaceDE/>
        <w:autoSpaceDN/>
        <w:bidi w:val="0"/>
        <w:spacing w:line="600" w:lineRule="exact"/>
        <w:ind w:firstLine="600"/>
        <w:jc w:val="center"/>
        <w:textAlignment w:val="auto"/>
        <w:rPr>
          <w:rFonts w:hint="eastAsia" w:ascii="宋体" w:hAnsi="宋体" w:eastAsia="宋体" w:cs="宋体"/>
          <w:b/>
          <w:bCs/>
        </w:rPr>
      </w:pPr>
      <w:r>
        <w:rPr>
          <w:rFonts w:hint="eastAsia" w:ascii="宋体" w:hAnsi="宋体" w:eastAsia="宋体" w:cs="宋体"/>
        </w:rPr>
        <w:t>表6.1-1  危险化学品经营单位安全评价现场检查表</w:t>
      </w:r>
    </w:p>
    <w:tbl>
      <w:tblPr>
        <w:tblStyle w:val="2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5"/>
        <w:gridCol w:w="5356"/>
        <w:gridCol w:w="566"/>
        <w:gridCol w:w="1983"/>
        <w:gridCol w:w="6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blHeader/>
        </w:trPr>
        <w:tc>
          <w:tcPr>
            <w:tcW w:w="70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b/>
                <w:bCs/>
                <w:sz w:val="21"/>
                <w:szCs w:val="21"/>
              </w:rPr>
            </w:pPr>
            <w:r>
              <w:rPr>
                <w:rFonts w:hint="eastAsia" w:ascii="宋体" w:hAnsi="宋体" w:eastAsia="宋体" w:cs="宋体"/>
                <w:b/>
                <w:bCs/>
                <w:sz w:val="21"/>
                <w:szCs w:val="21"/>
              </w:rPr>
              <w:t>项目</w:t>
            </w: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b/>
                <w:bCs/>
                <w:sz w:val="21"/>
                <w:szCs w:val="21"/>
              </w:rPr>
            </w:pPr>
            <w:r>
              <w:rPr>
                <w:rFonts w:hint="eastAsia" w:ascii="宋体" w:hAnsi="宋体" w:eastAsia="宋体" w:cs="宋体"/>
                <w:b/>
                <w:bCs/>
                <w:sz w:val="21"/>
                <w:szCs w:val="21"/>
              </w:rPr>
              <w:t>检  查  内  容</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ind w:left="-108" w:right="-108"/>
              <w:jc w:val="center"/>
              <w:rPr>
                <w:rFonts w:hint="eastAsia" w:ascii="宋体" w:hAnsi="宋体" w:eastAsia="宋体" w:cs="宋体"/>
                <w:b/>
                <w:bCs/>
                <w:sz w:val="21"/>
                <w:szCs w:val="21"/>
              </w:rPr>
            </w:pPr>
            <w:r>
              <w:rPr>
                <w:rFonts w:hint="eastAsia" w:ascii="宋体" w:hAnsi="宋体" w:eastAsia="宋体" w:cs="宋体"/>
                <w:b/>
                <w:bCs/>
                <w:sz w:val="21"/>
                <w:szCs w:val="21"/>
              </w:rPr>
              <w:t>类别</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检查记录</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b/>
                <w:bCs/>
                <w:sz w:val="21"/>
                <w:szCs w:val="21"/>
              </w:rPr>
            </w:pPr>
            <w:r>
              <w:rPr>
                <w:rFonts w:hint="eastAsia" w:ascii="宋体" w:hAnsi="宋体" w:eastAsia="宋体" w:cs="宋体"/>
                <w:b/>
                <w:bCs/>
                <w:sz w:val="21"/>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5" w:type="dxa"/>
            <w:vMerge w:val="restart"/>
            <w:tcBorders>
              <w:top w:val="single" w:color="auto" w:sz="4" w:space="0"/>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一、</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证</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照</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文</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书</w:t>
            </w: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sz w:val="21"/>
                <w:szCs w:val="21"/>
              </w:rPr>
            </w:pPr>
            <w:r>
              <w:rPr>
                <w:rFonts w:hint="eastAsia" w:ascii="宋体" w:hAnsi="宋体" w:eastAsia="宋体" w:cs="宋体"/>
                <w:sz w:val="21"/>
                <w:szCs w:val="21"/>
              </w:rPr>
              <w:t>1.有营业执照或企业名称预先核准通知书。</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有营业执照</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sz w:val="21"/>
                <w:szCs w:val="21"/>
              </w:rPr>
            </w:pPr>
            <w:r>
              <w:rPr>
                <w:rFonts w:hint="eastAsia" w:ascii="宋体" w:hAnsi="宋体" w:eastAsia="宋体" w:cs="宋体"/>
                <w:sz w:val="21"/>
                <w:szCs w:val="21"/>
              </w:rPr>
              <w:t>2.仓储和办公场所产权证明或租赁合同。</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有产权证。</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05" w:type="dxa"/>
            <w:vMerge w:val="continue"/>
            <w:tcBorders>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sz w:val="21"/>
                <w:szCs w:val="21"/>
              </w:rPr>
            </w:pPr>
            <w:r>
              <w:rPr>
                <w:rFonts w:hint="eastAsia" w:ascii="宋体" w:hAnsi="宋体" w:eastAsia="宋体" w:cs="宋体"/>
                <w:sz w:val="21"/>
                <w:szCs w:val="21"/>
              </w:rPr>
              <w:t>3.公安消防部门对储存场所出具的消防验收合格文件。</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有消防验收意见书</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4" w:hRule="atLeast"/>
        </w:trPr>
        <w:tc>
          <w:tcPr>
            <w:tcW w:w="7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二、</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安</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全</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管</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理</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制</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度</w:t>
            </w: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宋体" w:hAnsi="宋体" w:eastAsia="宋体" w:cs="宋体"/>
                <w:sz w:val="21"/>
                <w:szCs w:val="21"/>
              </w:rPr>
            </w:pPr>
            <w:r>
              <w:rPr>
                <w:rFonts w:hint="eastAsia" w:ascii="宋体" w:hAnsi="宋体" w:eastAsia="宋体" w:cs="宋体"/>
                <w:sz w:val="21"/>
                <w:szCs w:val="21"/>
              </w:rPr>
              <w:t>1、有各级各类人员的安全管理责任制。</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63" w:name="_Toc139855962"/>
            <w:bookmarkStart w:id="364" w:name="_Toc139854451"/>
            <w:bookmarkStart w:id="365" w:name="_Toc139854524"/>
            <w:bookmarkStart w:id="366" w:name="_Toc139855872"/>
            <w:bookmarkStart w:id="367" w:name="_Toc139854405"/>
            <w:r>
              <w:rPr>
                <w:rFonts w:hint="eastAsia" w:ascii="宋体" w:hAnsi="宋体" w:eastAsia="宋体" w:cs="宋体"/>
                <w:sz w:val="21"/>
                <w:szCs w:val="21"/>
              </w:rPr>
              <w:t>A</w:t>
            </w:r>
            <w:bookmarkEnd w:id="363"/>
            <w:bookmarkEnd w:id="364"/>
            <w:bookmarkEnd w:id="365"/>
            <w:bookmarkEnd w:id="366"/>
            <w:bookmarkEnd w:id="36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有安全管理责任制</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2、有健全的安全管理（包括教育培训、防火、动火、用火、检修、废弃物处理）制度，经营剧毒化学品的需有剧毒化学品的管理内容（包括剧毒物品的“双人双锁”制等）。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68" w:name="_Toc139854525"/>
            <w:bookmarkStart w:id="369" w:name="_Toc139855873"/>
            <w:bookmarkStart w:id="370" w:name="_Toc139855963"/>
            <w:bookmarkStart w:id="371" w:name="_Toc139854452"/>
            <w:bookmarkStart w:id="372" w:name="_Toc139854406"/>
            <w:r>
              <w:rPr>
                <w:rFonts w:hint="eastAsia" w:ascii="宋体" w:hAnsi="宋体" w:eastAsia="宋体" w:cs="宋体"/>
                <w:sz w:val="21"/>
                <w:szCs w:val="21"/>
              </w:rPr>
              <w:t>A</w:t>
            </w:r>
            <w:bookmarkEnd w:id="368"/>
            <w:bookmarkEnd w:id="369"/>
            <w:bookmarkEnd w:id="370"/>
            <w:bookmarkEnd w:id="371"/>
            <w:bookmarkEnd w:id="37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有安全管理制度</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3．有完善的经营、销售（包括采购、出入库登记、验收、发放、出售等）管理制度，经营剧毒化学品的需有剧毒化学品的管理内容（包括销售剧毒化学品的登记和查验准购证等）。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有完善的经营、销售管理制度，不涉及剧毒化学品</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4．建立安全检查（包括巡回检查、夜间和节假日值班）制度。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宋体" w:hAnsi="宋体" w:eastAsia="宋体" w:cs="宋体"/>
                <w:sz w:val="21"/>
                <w:szCs w:val="21"/>
              </w:rPr>
            </w:pPr>
            <w:r>
              <w:rPr>
                <w:rFonts w:hint="eastAsia" w:ascii="宋体" w:hAnsi="宋体" w:eastAsia="宋体" w:cs="宋体"/>
                <w:sz w:val="21"/>
                <w:szCs w:val="21"/>
              </w:rPr>
              <w:t>建立制度</w:t>
            </w:r>
          </w:p>
        </w:tc>
        <w:tc>
          <w:tcPr>
            <w:tcW w:w="67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5"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5．有符合国家标准《易燃易爆性商品储藏养护技术条件》（GB17914）、《腐蚀性商品储藏养护技术条件》（GB17915）、《毒害性商品储藏养护技术条件》（GB17916）的仓储物品储藏养护制度。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有符合国家标准的养护制度</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6．有各岗位（包括装卸、搬运、劳动保护用品的佩戴和防火花工具使用等）安全操作规程。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有安全操作规程</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7．有事故应急救援措施；构成重大危险源的，建立事故应急救援预案，内容一般包括：应急处理组织与职责、事故类型和原因、事故防范措施、事故应急处理原则和程序、事故报警和报告、工程抢险和医疗救护、演练等。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有事故应急预案</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三、</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安</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全</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管</w:t>
            </w:r>
          </w:p>
          <w:p>
            <w:pPr>
              <w:pStyle w:val="10"/>
              <w:spacing w:line="240" w:lineRule="exact"/>
              <w:jc w:val="center"/>
              <w:rPr>
                <w:rFonts w:hint="eastAsia" w:ascii="宋体" w:hAnsi="宋体" w:eastAsia="宋体" w:cs="宋体"/>
                <w:sz w:val="21"/>
                <w:szCs w:val="21"/>
              </w:rPr>
            </w:pPr>
            <w:r>
              <w:rPr>
                <w:rFonts w:hint="eastAsia" w:ascii="宋体" w:hAnsi="宋体" w:eastAsia="宋体" w:cs="宋体"/>
                <w:sz w:val="21"/>
                <w:szCs w:val="21"/>
              </w:rPr>
              <w:t>理</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组</w:t>
            </w:r>
          </w:p>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织</w:t>
            </w: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1．有安全管理机构或者配备专职安全管理人员；从业人员在10人以下的，有专职或兼职安全管理人员；个体工商户可委托具有国家规定资格的人员提供安全管理服务。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73" w:name="_Toc139854453"/>
            <w:bookmarkStart w:id="374" w:name="_Toc139855964"/>
            <w:bookmarkStart w:id="375" w:name="_Toc139855874"/>
            <w:bookmarkStart w:id="376" w:name="_Toc139854526"/>
            <w:bookmarkStart w:id="377" w:name="_Toc139854407"/>
            <w:r>
              <w:rPr>
                <w:rFonts w:hint="eastAsia" w:ascii="宋体" w:hAnsi="宋体" w:eastAsia="宋体" w:cs="宋体"/>
                <w:sz w:val="21"/>
                <w:szCs w:val="21"/>
              </w:rPr>
              <w:t>A</w:t>
            </w:r>
            <w:bookmarkEnd w:id="373"/>
            <w:bookmarkEnd w:id="374"/>
            <w:bookmarkEnd w:id="375"/>
            <w:bookmarkEnd w:id="376"/>
            <w:bookmarkEnd w:id="377"/>
          </w:p>
        </w:tc>
        <w:tc>
          <w:tcPr>
            <w:tcW w:w="1983"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宋体" w:hAnsi="宋体" w:eastAsia="宋体" w:cs="宋体"/>
                <w:sz w:val="21"/>
                <w:szCs w:val="21"/>
              </w:rPr>
            </w:pPr>
            <w:r>
              <w:rPr>
                <w:rFonts w:hint="eastAsia" w:ascii="宋体" w:hAnsi="宋体" w:eastAsia="宋体" w:cs="宋体"/>
                <w:sz w:val="21"/>
                <w:szCs w:val="21"/>
              </w:rPr>
              <w:t>公司有专职安全管理人员</w:t>
            </w:r>
          </w:p>
        </w:tc>
        <w:tc>
          <w:tcPr>
            <w:tcW w:w="67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2．大中型仓库应有专职或义务消防队伍，制定灭火预案并经常进行消防演练。</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78" w:name="_Toc139854408"/>
            <w:bookmarkStart w:id="379" w:name="_Toc139855875"/>
            <w:bookmarkStart w:id="380" w:name="_Toc139855965"/>
            <w:bookmarkStart w:id="381" w:name="_Toc139854454"/>
            <w:bookmarkStart w:id="382" w:name="_Toc139854527"/>
            <w:r>
              <w:rPr>
                <w:rFonts w:hint="eastAsia" w:ascii="宋体" w:hAnsi="宋体" w:eastAsia="宋体" w:cs="宋体"/>
                <w:sz w:val="21"/>
                <w:szCs w:val="21"/>
              </w:rPr>
              <w:t>B</w:t>
            </w:r>
            <w:bookmarkEnd w:id="378"/>
            <w:bookmarkEnd w:id="379"/>
            <w:bookmarkEnd w:id="380"/>
            <w:bookmarkEnd w:id="381"/>
            <w:bookmarkEnd w:id="38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3．氨回收装置应确定一名主要管理人员为安全负责人，全面负责氨回收装置安全管理工作。</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83" w:name="_Toc139854409"/>
            <w:bookmarkStart w:id="384" w:name="_Toc139855876"/>
            <w:bookmarkStart w:id="385" w:name="_Toc139854528"/>
            <w:bookmarkStart w:id="386" w:name="_Toc139854455"/>
            <w:bookmarkStart w:id="387" w:name="_Toc139855966"/>
            <w:r>
              <w:rPr>
                <w:rFonts w:hint="eastAsia" w:ascii="宋体" w:hAnsi="宋体" w:eastAsia="宋体" w:cs="宋体"/>
                <w:sz w:val="21"/>
                <w:szCs w:val="21"/>
              </w:rPr>
              <w:t>B</w:t>
            </w:r>
            <w:bookmarkEnd w:id="383"/>
            <w:bookmarkEnd w:id="384"/>
            <w:bookmarkEnd w:id="385"/>
            <w:bookmarkEnd w:id="386"/>
            <w:bookmarkEnd w:id="38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有安全负责人</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四、</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从</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业</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人</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员</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要</w:t>
            </w:r>
          </w:p>
          <w:p>
            <w:pPr>
              <w:spacing w:line="240" w:lineRule="exact"/>
              <w:ind w:right="-67" w:rightChars="-24"/>
              <w:jc w:val="center"/>
              <w:rPr>
                <w:rFonts w:hint="eastAsia" w:ascii="宋体" w:hAnsi="宋体" w:eastAsia="宋体" w:cs="宋体"/>
                <w:sz w:val="21"/>
                <w:szCs w:val="21"/>
              </w:rPr>
            </w:pPr>
            <w:r>
              <w:rPr>
                <w:rFonts w:hint="eastAsia" w:ascii="宋体" w:hAnsi="宋体" w:eastAsia="宋体" w:cs="宋体"/>
                <w:sz w:val="21"/>
                <w:szCs w:val="21"/>
              </w:rPr>
              <w:t>求</w:t>
            </w: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1．单位主要负责人和安全管理人员经市级以上地方人民政府安全生产监督管理部门考核合格，取得上岗资格。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88" w:name="_Toc139855877"/>
            <w:bookmarkStart w:id="389" w:name="_Toc139854410"/>
            <w:bookmarkStart w:id="390" w:name="_Toc139855967"/>
            <w:bookmarkStart w:id="391" w:name="_Toc139854529"/>
            <w:bookmarkStart w:id="392" w:name="_Toc139854456"/>
            <w:r>
              <w:rPr>
                <w:rFonts w:hint="eastAsia" w:ascii="宋体" w:hAnsi="宋体" w:eastAsia="宋体" w:cs="宋体"/>
                <w:sz w:val="21"/>
                <w:szCs w:val="21"/>
              </w:rPr>
              <w:t>A</w:t>
            </w:r>
            <w:bookmarkEnd w:id="388"/>
            <w:bookmarkEnd w:id="389"/>
            <w:bookmarkEnd w:id="390"/>
            <w:bookmarkEnd w:id="391"/>
            <w:bookmarkEnd w:id="39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主要负责人、安全管理人员已取证</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2．其他从业人员经本单位专业培训或委托专业培训，并经考核合格，取得上岗资格。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培训上岗</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8"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3．特种作业人员经有关监督管理部门考核合格，取得上岗资格。</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电工等取证上岗</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12" w:hRule="atLeast"/>
        </w:trPr>
        <w:tc>
          <w:tcPr>
            <w:tcW w:w="705" w:type="dxa"/>
            <w:vMerge w:val="restart"/>
            <w:tcBorders>
              <w:top w:val="single" w:color="auto" w:sz="4" w:space="0"/>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五、</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仓</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储</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场</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所</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要</w:t>
            </w:r>
          </w:p>
          <w:p>
            <w:pPr>
              <w:spacing w:line="240" w:lineRule="exact"/>
              <w:ind w:right="-108"/>
              <w:jc w:val="center"/>
              <w:rPr>
                <w:rFonts w:hint="eastAsia" w:ascii="宋体" w:hAnsi="宋体" w:eastAsia="宋体" w:cs="宋体"/>
                <w:sz w:val="21"/>
                <w:szCs w:val="21"/>
              </w:rPr>
            </w:pPr>
            <w:r>
              <w:rPr>
                <w:rFonts w:hint="eastAsia" w:ascii="宋体" w:hAnsi="宋体" w:eastAsia="宋体" w:cs="宋体"/>
                <w:sz w:val="21"/>
                <w:szCs w:val="21"/>
              </w:rPr>
              <w:t>求</w:t>
            </w: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1．从事批发业务的单位应有公安消防部门验收合格的专用仓库（自有或租用）。所经营的危险化学品不得存放在业务经营场所。</w:t>
            </w:r>
          </w:p>
          <w:p>
            <w:pPr>
              <w:spacing w:line="240" w:lineRule="exact"/>
              <w:ind w:firstLine="432"/>
              <w:rPr>
                <w:rFonts w:hint="eastAsia" w:ascii="宋体" w:hAnsi="宋体" w:eastAsia="宋体" w:cs="宋体"/>
                <w:sz w:val="21"/>
                <w:szCs w:val="21"/>
              </w:rPr>
            </w:pPr>
            <w:r>
              <w:rPr>
                <w:rFonts w:hint="eastAsia" w:ascii="宋体" w:hAnsi="宋体" w:eastAsia="宋体" w:cs="宋体"/>
                <w:sz w:val="21"/>
                <w:szCs w:val="21"/>
              </w:rPr>
              <w:t>没有也不租赁储存场所从事批发业务的单位，不得将所经营的危险化学品存放在业务经营场所。</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A</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利用自有的氨水罐区</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2．零售业务的店面与繁华商业区或居住人口稠密区的距离应在500m以上，也可采取措施满足安全防护要求。店面经营面积（不含库房）应不小于60m</w:t>
            </w:r>
            <w:r>
              <w:rPr>
                <w:rFonts w:hint="eastAsia" w:ascii="宋体" w:hAnsi="宋体" w:eastAsia="宋体" w:cs="宋体"/>
                <w:sz w:val="21"/>
                <w:szCs w:val="21"/>
                <w:vertAlign w:val="superscript"/>
              </w:rPr>
              <w:t>2</w:t>
            </w:r>
            <w:r>
              <w:rPr>
                <w:rFonts w:hint="eastAsia" w:ascii="宋体" w:hAnsi="宋体" w:eastAsia="宋体" w:cs="宋体"/>
                <w:sz w:val="21"/>
                <w:szCs w:val="21"/>
              </w:rPr>
              <w:t xml:space="preserve">。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3．零售业务的店面内不得设有生活设施；只许存放民用小包装的危险化学品，其存放总质量不得超过1t，禁忌物料不能混放；综合性商场（含建材市场）所经营的危险化学品应专柜存放。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4．零售业务的店面与存放危险化学品的库房（或罩棚）应有实墙相隔。库房内单一品种存放量不能超过500kg，总质量不能超过2t。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无零售，无此项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705" w:type="dxa"/>
            <w:vMerge w:val="continue"/>
            <w:tcBorders>
              <w:left w:val="single" w:color="auto" w:sz="4" w:space="0"/>
              <w:right w:val="single" w:color="auto" w:sz="4" w:space="0"/>
            </w:tcBorders>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5．零售业务店面的备货库房经公安消防部门验收合格。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93" w:name="_Toc139855968"/>
            <w:bookmarkStart w:id="394" w:name="_Toc139854457"/>
            <w:bookmarkStart w:id="395" w:name="_Toc139854530"/>
            <w:bookmarkStart w:id="396" w:name="_Toc139855878"/>
            <w:bookmarkStart w:id="397" w:name="_Toc139854411"/>
            <w:r>
              <w:rPr>
                <w:rFonts w:hint="eastAsia" w:ascii="宋体" w:hAnsi="宋体" w:eastAsia="宋体" w:cs="宋体"/>
                <w:sz w:val="21"/>
                <w:szCs w:val="21"/>
              </w:rPr>
              <w:t>A</w:t>
            </w:r>
            <w:bookmarkEnd w:id="393"/>
            <w:bookmarkEnd w:id="394"/>
            <w:bookmarkEnd w:id="395"/>
            <w:bookmarkEnd w:id="396"/>
            <w:bookmarkEnd w:id="39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31"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6．大型仓库（库房或货场总面积大于9000m</w:t>
            </w:r>
            <w:r>
              <w:rPr>
                <w:rFonts w:hint="eastAsia" w:ascii="宋体" w:hAnsi="宋体" w:eastAsia="宋体" w:cs="宋体"/>
                <w:sz w:val="21"/>
                <w:szCs w:val="21"/>
                <w:vertAlign w:val="superscript"/>
              </w:rPr>
              <w:t>2</w:t>
            </w:r>
            <w:r>
              <w:rPr>
                <w:rFonts w:hint="eastAsia" w:ascii="宋体" w:hAnsi="宋体" w:eastAsia="宋体" w:cs="宋体"/>
                <w:sz w:val="21"/>
                <w:szCs w:val="21"/>
              </w:rPr>
              <w:t>）、中型仓库（库房或货场总面积在550m</w:t>
            </w:r>
            <w:r>
              <w:rPr>
                <w:rFonts w:hint="eastAsia" w:ascii="宋体" w:hAnsi="宋体" w:eastAsia="宋体" w:cs="宋体"/>
                <w:sz w:val="21"/>
                <w:szCs w:val="21"/>
                <w:vertAlign w:val="superscript"/>
              </w:rPr>
              <w:t>2</w:t>
            </w:r>
            <w:r>
              <w:rPr>
                <w:rFonts w:hint="eastAsia" w:ascii="宋体" w:hAnsi="宋体" w:eastAsia="宋体" w:cs="宋体"/>
                <w:sz w:val="21"/>
                <w:szCs w:val="21"/>
              </w:rPr>
              <w:t xml:space="preserve"> –9000m</w:t>
            </w:r>
            <w:r>
              <w:rPr>
                <w:rFonts w:hint="eastAsia" w:ascii="宋体" w:hAnsi="宋体" w:eastAsia="宋体" w:cs="宋体"/>
                <w:sz w:val="21"/>
                <w:szCs w:val="21"/>
                <w:vertAlign w:val="superscript"/>
              </w:rPr>
              <w:t>2</w:t>
            </w:r>
            <w:r>
              <w:rPr>
                <w:rFonts w:hint="eastAsia" w:ascii="宋体" w:hAnsi="宋体" w:eastAsia="宋体" w:cs="宋体"/>
                <w:sz w:val="21"/>
                <w:szCs w:val="21"/>
              </w:rPr>
              <w:t>之间）应在远离市区和居民区的主导风向的下风向和河流下游的地域。</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398" w:name="_Toc139855969"/>
            <w:bookmarkStart w:id="399" w:name="_Toc139854458"/>
            <w:bookmarkStart w:id="400" w:name="_Toc139854412"/>
            <w:bookmarkStart w:id="401" w:name="_Toc139854531"/>
            <w:bookmarkStart w:id="402" w:name="_Toc139855879"/>
            <w:r>
              <w:rPr>
                <w:rFonts w:hint="eastAsia" w:ascii="宋体" w:hAnsi="宋体" w:eastAsia="宋体" w:cs="宋体"/>
                <w:sz w:val="21"/>
                <w:szCs w:val="21"/>
              </w:rPr>
              <w:t>B</w:t>
            </w:r>
            <w:bookmarkEnd w:id="398"/>
            <w:bookmarkEnd w:id="399"/>
            <w:bookmarkEnd w:id="400"/>
            <w:bookmarkEnd w:id="401"/>
            <w:bookmarkEnd w:id="40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88"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7．大中型仓库与周围公共建筑物、交通干线、工矿企业等的距离应在1000m以上，也可采取措施满足安全防护要求。</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403" w:name="_Toc139854532"/>
            <w:bookmarkStart w:id="404" w:name="_Toc139854459"/>
            <w:bookmarkStart w:id="405" w:name="_Toc139855970"/>
            <w:bookmarkStart w:id="406" w:name="_Toc139854413"/>
            <w:bookmarkStart w:id="407" w:name="_Toc139855880"/>
            <w:r>
              <w:rPr>
                <w:rFonts w:hint="eastAsia" w:ascii="宋体" w:hAnsi="宋体" w:eastAsia="宋体" w:cs="宋体"/>
                <w:sz w:val="21"/>
                <w:szCs w:val="21"/>
              </w:rPr>
              <w:t>B</w:t>
            </w:r>
            <w:bookmarkEnd w:id="403"/>
            <w:bookmarkEnd w:id="404"/>
            <w:bookmarkEnd w:id="405"/>
            <w:bookmarkEnd w:id="406"/>
            <w:bookmarkEnd w:id="40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8．大中型仓库内库区和生活区应分设，两区之间应有高2m以上的实体围墙，围墙与库区内建筑的距离不宜小于5m，并应满足围墙两侧建筑物之间的防火距离要求。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08" w:name="_Toc139854414"/>
            <w:bookmarkStart w:id="409" w:name="_Toc139854460"/>
            <w:bookmarkStart w:id="410" w:name="_Toc139855881"/>
            <w:bookmarkStart w:id="411" w:name="_Toc139854533"/>
            <w:bookmarkStart w:id="412" w:name="_Toc139855971"/>
            <w:r>
              <w:rPr>
                <w:rFonts w:hint="eastAsia" w:ascii="宋体" w:hAnsi="宋体" w:eastAsia="宋体" w:cs="宋体"/>
                <w:spacing w:val="-12"/>
                <w:sz w:val="21"/>
                <w:szCs w:val="21"/>
              </w:rPr>
              <w:t>B</w:t>
            </w:r>
            <w:bookmarkEnd w:id="408"/>
            <w:bookmarkEnd w:id="409"/>
            <w:bookmarkEnd w:id="410"/>
            <w:bookmarkEnd w:id="411"/>
            <w:bookmarkEnd w:id="41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6"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9．小型仓库（小型仓库的库房或货场总面积小于550m</w:t>
            </w:r>
            <w:r>
              <w:rPr>
                <w:rFonts w:hint="eastAsia" w:ascii="宋体" w:hAnsi="宋体" w:eastAsia="宋体" w:cs="宋体"/>
                <w:sz w:val="21"/>
                <w:szCs w:val="21"/>
                <w:vertAlign w:val="superscript"/>
              </w:rPr>
              <w:t>2</w:t>
            </w:r>
            <w:r>
              <w:rPr>
                <w:rFonts w:hint="eastAsia" w:ascii="宋体" w:hAnsi="宋体" w:eastAsia="宋体" w:cs="宋体"/>
                <w:sz w:val="21"/>
                <w:szCs w:val="21"/>
              </w:rPr>
              <w:t xml:space="preserve">）危险化学品存放总质量应与仓库储存能力相适应。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13" w:name="_Toc139855972"/>
            <w:bookmarkStart w:id="414" w:name="_Toc139855882"/>
            <w:bookmarkStart w:id="415" w:name="_Toc139854461"/>
            <w:bookmarkStart w:id="416" w:name="_Toc139854415"/>
            <w:bookmarkStart w:id="417" w:name="_Toc139854534"/>
            <w:r>
              <w:rPr>
                <w:rFonts w:hint="eastAsia" w:ascii="宋体" w:hAnsi="宋体" w:eastAsia="宋体" w:cs="宋体"/>
                <w:spacing w:val="-12"/>
                <w:sz w:val="21"/>
                <w:szCs w:val="21"/>
              </w:rPr>
              <w:t>B</w:t>
            </w:r>
            <w:bookmarkEnd w:id="413"/>
            <w:bookmarkEnd w:id="414"/>
            <w:bookmarkEnd w:id="415"/>
            <w:bookmarkEnd w:id="416"/>
            <w:bookmarkEnd w:id="41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危险化学品存放总质量应与罐区储存能力相适应。</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10．用于仓储运输的车辆，应经有关部门审验合格。</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18" w:name="_Toc139855883"/>
            <w:bookmarkStart w:id="419" w:name="_Toc139855973"/>
            <w:bookmarkStart w:id="420" w:name="_Toc139854535"/>
            <w:bookmarkStart w:id="421" w:name="_Toc139854462"/>
            <w:bookmarkStart w:id="422" w:name="_Toc139854416"/>
            <w:r>
              <w:rPr>
                <w:rFonts w:hint="eastAsia" w:ascii="宋体" w:hAnsi="宋体" w:eastAsia="宋体" w:cs="宋体"/>
                <w:spacing w:val="-12"/>
                <w:sz w:val="21"/>
                <w:szCs w:val="21"/>
              </w:rPr>
              <w:t>A</w:t>
            </w:r>
            <w:bookmarkEnd w:id="418"/>
            <w:bookmarkEnd w:id="419"/>
            <w:bookmarkEnd w:id="420"/>
            <w:bookmarkEnd w:id="421"/>
            <w:bookmarkEnd w:id="42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外借资质单位车辆</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2"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11．危险化学品装卸码头经公安消防部门验收合格。</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23" w:name="_Toc139854536"/>
            <w:bookmarkStart w:id="424" w:name="_Toc139855884"/>
            <w:bookmarkStart w:id="425" w:name="_Toc139854463"/>
            <w:bookmarkStart w:id="426" w:name="_Toc139854417"/>
            <w:bookmarkStart w:id="427" w:name="_Toc139855974"/>
            <w:r>
              <w:rPr>
                <w:rFonts w:hint="eastAsia" w:ascii="宋体" w:hAnsi="宋体" w:eastAsia="宋体" w:cs="宋体"/>
                <w:spacing w:val="-12"/>
                <w:sz w:val="21"/>
                <w:szCs w:val="21"/>
              </w:rPr>
              <w:t>A</w:t>
            </w:r>
            <w:bookmarkEnd w:id="423"/>
            <w:bookmarkEnd w:id="424"/>
            <w:bookmarkEnd w:id="425"/>
            <w:bookmarkEnd w:id="426"/>
            <w:bookmarkEnd w:id="42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12．油品码头应符合《装卸油品码头防火设计规范》（JTJ237）的规定。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28" w:name="_Toc139854464"/>
            <w:bookmarkStart w:id="429" w:name="_Toc139854418"/>
            <w:bookmarkStart w:id="430" w:name="_Toc139854537"/>
            <w:bookmarkStart w:id="431" w:name="_Toc139855885"/>
            <w:bookmarkStart w:id="432" w:name="_Toc139855975"/>
            <w:r>
              <w:rPr>
                <w:rFonts w:hint="eastAsia" w:ascii="宋体" w:hAnsi="宋体" w:eastAsia="宋体" w:cs="宋体"/>
                <w:spacing w:val="-12"/>
                <w:sz w:val="21"/>
                <w:szCs w:val="21"/>
              </w:rPr>
              <w:t>B</w:t>
            </w:r>
            <w:bookmarkEnd w:id="428"/>
            <w:bookmarkEnd w:id="429"/>
            <w:bookmarkEnd w:id="430"/>
            <w:bookmarkEnd w:id="431"/>
            <w:bookmarkEnd w:id="43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4"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13．液化气码头应符合《液化气码头安全技术要求》（JT416）的规定。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33" w:name="_Toc139855976"/>
            <w:bookmarkStart w:id="434" w:name="_Toc139854419"/>
            <w:bookmarkStart w:id="435" w:name="_Toc139854465"/>
            <w:bookmarkStart w:id="436" w:name="_Toc139854538"/>
            <w:bookmarkStart w:id="437" w:name="_Toc139855886"/>
            <w:r>
              <w:rPr>
                <w:rFonts w:hint="eastAsia" w:ascii="宋体" w:hAnsi="宋体" w:eastAsia="宋体" w:cs="宋体"/>
                <w:spacing w:val="-12"/>
                <w:sz w:val="21"/>
                <w:szCs w:val="21"/>
              </w:rPr>
              <w:t>B</w:t>
            </w:r>
            <w:bookmarkEnd w:id="433"/>
            <w:bookmarkEnd w:id="434"/>
            <w:bookmarkEnd w:id="435"/>
            <w:bookmarkEnd w:id="436"/>
            <w:bookmarkEnd w:id="43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2"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14．重力码头应符合《重力式码头设计与施工规范》（JTJ290）的规定。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38" w:name="_Toc139854420"/>
            <w:bookmarkStart w:id="439" w:name="_Toc139855887"/>
            <w:bookmarkStart w:id="440" w:name="_Toc139854466"/>
            <w:bookmarkStart w:id="441" w:name="_Toc139854539"/>
            <w:bookmarkStart w:id="442" w:name="_Toc139855977"/>
            <w:r>
              <w:rPr>
                <w:rFonts w:hint="eastAsia" w:ascii="宋体" w:hAnsi="宋体" w:eastAsia="宋体" w:cs="宋体"/>
                <w:spacing w:val="-12"/>
                <w:sz w:val="21"/>
                <w:szCs w:val="21"/>
              </w:rPr>
              <w:t>B</w:t>
            </w:r>
            <w:bookmarkEnd w:id="438"/>
            <w:bookmarkEnd w:id="439"/>
            <w:bookmarkEnd w:id="440"/>
            <w:bookmarkEnd w:id="441"/>
            <w:bookmarkEnd w:id="44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2"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15．斜坡码头及浮码头应符合《斜坡码头及浮码头设计与施工规范》（JTJ294）的规定。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43" w:name="_Toc139854421"/>
            <w:bookmarkStart w:id="444" w:name="_Toc139854540"/>
            <w:bookmarkStart w:id="445" w:name="_Toc139854467"/>
            <w:bookmarkStart w:id="446" w:name="_Toc139855888"/>
            <w:bookmarkStart w:id="447" w:name="_Toc139855978"/>
            <w:r>
              <w:rPr>
                <w:rFonts w:hint="eastAsia" w:ascii="宋体" w:hAnsi="宋体" w:eastAsia="宋体" w:cs="宋体"/>
                <w:spacing w:val="-12"/>
                <w:sz w:val="21"/>
                <w:szCs w:val="21"/>
              </w:rPr>
              <w:t>B</w:t>
            </w:r>
            <w:bookmarkEnd w:id="443"/>
            <w:bookmarkEnd w:id="444"/>
            <w:bookmarkEnd w:id="445"/>
            <w:bookmarkEnd w:id="446"/>
            <w:bookmarkEnd w:id="44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7" w:hRule="atLeast"/>
        </w:trPr>
        <w:tc>
          <w:tcPr>
            <w:tcW w:w="705" w:type="dxa"/>
            <w:vMerge w:val="continue"/>
            <w:tcBorders>
              <w:left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16．有火灾爆炸危险的液体汽车加油加气站物品装卸设施应符合《石油库设计规范》（GBJ74）第6章的规定。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48" w:name="_Toc139854468"/>
            <w:bookmarkStart w:id="449" w:name="_Toc139855889"/>
            <w:bookmarkStart w:id="450" w:name="_Toc139854422"/>
            <w:bookmarkStart w:id="451" w:name="_Toc139855979"/>
            <w:bookmarkStart w:id="452" w:name="_Toc139854541"/>
            <w:r>
              <w:rPr>
                <w:rFonts w:hint="eastAsia" w:ascii="宋体" w:hAnsi="宋体" w:eastAsia="宋体" w:cs="宋体"/>
                <w:spacing w:val="-12"/>
                <w:sz w:val="21"/>
                <w:szCs w:val="21"/>
              </w:rPr>
              <w:t>B</w:t>
            </w:r>
            <w:bookmarkEnd w:id="448"/>
            <w:bookmarkEnd w:id="449"/>
            <w:bookmarkEnd w:id="450"/>
            <w:bookmarkEnd w:id="451"/>
            <w:bookmarkEnd w:id="45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6" w:hRule="atLeast"/>
        </w:trPr>
        <w:tc>
          <w:tcPr>
            <w:tcW w:w="705" w:type="dxa"/>
            <w:vMerge w:val="continue"/>
            <w:tcBorders>
              <w:left w:val="single" w:color="auto" w:sz="4" w:space="0"/>
              <w:bottom w:val="single" w:color="auto" w:sz="4" w:space="0"/>
              <w:right w:val="single" w:color="auto" w:sz="4" w:space="0"/>
            </w:tcBorders>
          </w:tcPr>
          <w:p>
            <w:pPr>
              <w:spacing w:line="240" w:lineRule="exact"/>
              <w:jc w:val="center"/>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17．汽车加油加气站应符合《汽车加油加气站设计与施工规范的规定》（BG50156）的规定。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53" w:name="_Toc139855980"/>
            <w:bookmarkStart w:id="454" w:name="_Toc139855890"/>
            <w:bookmarkStart w:id="455" w:name="_Toc139854423"/>
            <w:bookmarkStart w:id="456" w:name="_Toc139854469"/>
            <w:bookmarkStart w:id="457" w:name="_Toc139854542"/>
            <w:r>
              <w:rPr>
                <w:rFonts w:hint="eastAsia" w:ascii="宋体" w:hAnsi="宋体" w:eastAsia="宋体" w:cs="宋体"/>
                <w:spacing w:val="-12"/>
                <w:sz w:val="21"/>
                <w:szCs w:val="21"/>
              </w:rPr>
              <w:t>B</w:t>
            </w:r>
            <w:bookmarkEnd w:id="453"/>
            <w:bookmarkEnd w:id="454"/>
            <w:bookmarkEnd w:id="455"/>
            <w:bookmarkEnd w:id="456"/>
            <w:bookmarkEnd w:id="45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8" w:hRule="atLeast"/>
        </w:trPr>
        <w:tc>
          <w:tcPr>
            <w:tcW w:w="7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六、</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仓</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库</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建</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筑</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要</w:t>
            </w:r>
          </w:p>
          <w:p>
            <w:pPr>
              <w:spacing w:line="240" w:lineRule="exact"/>
              <w:ind w:right="-44" w:rightChars="-16"/>
              <w:jc w:val="center"/>
              <w:rPr>
                <w:rFonts w:hint="eastAsia" w:ascii="宋体" w:hAnsi="宋体" w:eastAsia="宋体" w:cs="宋体"/>
                <w:spacing w:val="-12"/>
                <w:sz w:val="21"/>
                <w:szCs w:val="21"/>
              </w:rPr>
            </w:pPr>
            <w:r>
              <w:rPr>
                <w:rFonts w:hint="eastAsia" w:ascii="宋体" w:hAnsi="宋体" w:eastAsia="宋体" w:cs="宋体"/>
                <w:spacing w:val="-12"/>
                <w:sz w:val="21"/>
                <w:szCs w:val="21"/>
              </w:rPr>
              <w:t>求</w:t>
            </w:r>
          </w:p>
        </w:tc>
        <w:tc>
          <w:tcPr>
            <w:tcW w:w="535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1．建筑物经公安消防部门验收合格。</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58" w:name="_Toc139854470"/>
            <w:bookmarkStart w:id="459" w:name="_Toc139855891"/>
            <w:bookmarkStart w:id="460" w:name="_Toc139854543"/>
            <w:bookmarkStart w:id="461" w:name="_Toc139855981"/>
            <w:bookmarkStart w:id="462" w:name="_Toc139854424"/>
            <w:r>
              <w:rPr>
                <w:rFonts w:hint="eastAsia" w:ascii="宋体" w:hAnsi="宋体" w:eastAsia="宋体" w:cs="宋体"/>
                <w:spacing w:val="-12"/>
                <w:sz w:val="21"/>
                <w:szCs w:val="21"/>
              </w:rPr>
              <w:t>A</w:t>
            </w:r>
            <w:bookmarkEnd w:id="458"/>
            <w:bookmarkEnd w:id="459"/>
            <w:bookmarkEnd w:id="460"/>
            <w:bookmarkEnd w:id="461"/>
            <w:bookmarkEnd w:id="46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不涉及仓库</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705"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2．库房耐火等级、层数、占地面积、安全通道和防火间距，甲、乙、丙类液体储罐、堆场的布置和防火间距，可燃、助燃气体储罐的防火间距，液化石油气储罐的布置和防火间距，易燃、可燃材料的露天、半露天堆场的布置和防火间距，仓库、储罐区、堆场的布置及与铁路、道路的防火间距，应符合《建筑设计防火规范》（GB50016）的要求。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63" w:name="_Toc139855892"/>
            <w:bookmarkStart w:id="464" w:name="_Toc139854425"/>
            <w:bookmarkStart w:id="465" w:name="_Toc139854544"/>
            <w:bookmarkStart w:id="466" w:name="_Toc139855982"/>
            <w:bookmarkStart w:id="467" w:name="_Toc139854471"/>
            <w:r>
              <w:rPr>
                <w:rFonts w:hint="eastAsia" w:ascii="宋体" w:hAnsi="宋体" w:eastAsia="宋体" w:cs="宋体"/>
                <w:spacing w:val="-12"/>
                <w:sz w:val="21"/>
                <w:szCs w:val="21"/>
              </w:rPr>
              <w:t>B</w:t>
            </w:r>
            <w:bookmarkEnd w:id="463"/>
            <w:bookmarkEnd w:id="464"/>
            <w:bookmarkEnd w:id="465"/>
            <w:bookmarkEnd w:id="466"/>
            <w:bookmarkEnd w:id="46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氨水罐区防火间距符合GB50016的要求</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pacing w:val="-18"/>
                <w:sz w:val="21"/>
                <w:szCs w:val="21"/>
              </w:rPr>
            </w:pPr>
            <w:r>
              <w:rPr>
                <w:rFonts w:hint="eastAsia" w:ascii="宋体" w:hAnsi="宋体" w:eastAsia="宋体" w:cs="宋体"/>
                <w:sz w:val="21"/>
                <w:szCs w:val="21"/>
              </w:rPr>
              <w:t>3．库房门应为铁质或木质外包铁皮，采用外开式。设置高侧窗（剧毒物品仓库的窗户应设铁护栏）。</w:t>
            </w:r>
            <w:r>
              <w:rPr>
                <w:rFonts w:hint="eastAsia" w:ascii="宋体" w:hAnsi="宋体" w:eastAsia="宋体" w:cs="宋体"/>
                <w:spacing w:val="-18"/>
                <w:sz w:val="21"/>
                <w:szCs w:val="21"/>
              </w:rPr>
              <w:t xml:space="preserve">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68" w:name="_Toc139855893"/>
            <w:bookmarkStart w:id="469" w:name="_Toc139854545"/>
            <w:bookmarkStart w:id="470" w:name="_Toc139854426"/>
            <w:bookmarkStart w:id="471" w:name="_Toc139855983"/>
            <w:bookmarkStart w:id="472" w:name="_Toc139854472"/>
            <w:r>
              <w:rPr>
                <w:rFonts w:hint="eastAsia" w:ascii="宋体" w:hAnsi="宋体" w:eastAsia="宋体" w:cs="宋体"/>
                <w:spacing w:val="-12"/>
                <w:sz w:val="21"/>
                <w:szCs w:val="21"/>
              </w:rPr>
              <w:t>B</w:t>
            </w:r>
            <w:bookmarkEnd w:id="468"/>
            <w:bookmarkEnd w:id="469"/>
            <w:bookmarkEnd w:id="470"/>
            <w:bookmarkEnd w:id="471"/>
            <w:bookmarkEnd w:id="47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4．毒害品、腐蚀性物品库房的耐火等级不低于二级。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73" w:name="_Toc139854546"/>
            <w:bookmarkStart w:id="474" w:name="_Toc139854473"/>
            <w:bookmarkStart w:id="475" w:name="_Toc139855894"/>
            <w:bookmarkStart w:id="476" w:name="_Toc139855984"/>
            <w:bookmarkStart w:id="477" w:name="_Toc139854427"/>
            <w:r>
              <w:rPr>
                <w:rFonts w:hint="eastAsia" w:ascii="宋体" w:hAnsi="宋体" w:eastAsia="宋体" w:cs="宋体"/>
                <w:spacing w:val="-12"/>
                <w:sz w:val="21"/>
                <w:szCs w:val="21"/>
              </w:rPr>
              <w:t>B</w:t>
            </w:r>
            <w:bookmarkEnd w:id="473"/>
            <w:bookmarkEnd w:id="474"/>
            <w:bookmarkEnd w:id="475"/>
            <w:bookmarkEnd w:id="476"/>
            <w:bookmarkEnd w:id="47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二级</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5．甲、乙类库房内不准设办公室、休息室。设在丙、丁类库房内的办公室、休息室，应采用耐火极限不低于2.5h的不燃烧隔墙和耐火极限不低于1h的楼板分隔开，其出应直通室外或疏散通道。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78" w:name="_Toc139854428"/>
            <w:bookmarkStart w:id="479" w:name="_Toc139855985"/>
            <w:bookmarkStart w:id="480" w:name="_Toc139854474"/>
            <w:bookmarkStart w:id="481" w:name="_Toc139854547"/>
            <w:bookmarkStart w:id="482" w:name="_Toc139855895"/>
            <w:r>
              <w:rPr>
                <w:rFonts w:hint="eastAsia" w:ascii="宋体" w:hAnsi="宋体" w:eastAsia="宋体" w:cs="宋体"/>
                <w:spacing w:val="-12"/>
                <w:sz w:val="21"/>
                <w:szCs w:val="21"/>
              </w:rPr>
              <w:t>B</w:t>
            </w:r>
            <w:bookmarkEnd w:id="478"/>
            <w:bookmarkEnd w:id="479"/>
            <w:bookmarkEnd w:id="480"/>
            <w:bookmarkEnd w:id="481"/>
            <w:bookmarkEnd w:id="48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未设办公室、休息室</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6．对于易产生粉尘、蒸汽、腐蚀性气体的库房，应有防护措施。剧毒物品的库房应有机械通风排毒设备。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83" w:name="_Toc139855896"/>
            <w:bookmarkStart w:id="484" w:name="_Toc139854475"/>
            <w:bookmarkStart w:id="485" w:name="_Toc139854548"/>
            <w:bookmarkStart w:id="486" w:name="_Toc139855986"/>
            <w:bookmarkStart w:id="487" w:name="_Toc139854429"/>
            <w:r>
              <w:rPr>
                <w:rFonts w:hint="eastAsia" w:ascii="宋体" w:hAnsi="宋体" w:eastAsia="宋体" w:cs="宋体"/>
                <w:spacing w:val="-12"/>
                <w:sz w:val="21"/>
                <w:szCs w:val="21"/>
              </w:rPr>
              <w:t>B</w:t>
            </w:r>
            <w:bookmarkEnd w:id="483"/>
            <w:bookmarkEnd w:id="484"/>
            <w:bookmarkEnd w:id="485"/>
            <w:bookmarkEnd w:id="486"/>
            <w:bookmarkEnd w:id="48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厂房有防护措施</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7．库房的采暖、通风和空气调节应符合《建筑设计防火规范》（GB50016）第九章的要求。</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88" w:name="_Toc139855897"/>
            <w:bookmarkStart w:id="489" w:name="_Toc139854476"/>
            <w:bookmarkStart w:id="490" w:name="_Toc139854430"/>
            <w:bookmarkStart w:id="491" w:name="_Toc139854549"/>
            <w:bookmarkStart w:id="492" w:name="_Toc139855987"/>
            <w:r>
              <w:rPr>
                <w:rFonts w:hint="eastAsia" w:ascii="宋体" w:hAnsi="宋体" w:eastAsia="宋体" w:cs="宋体"/>
                <w:spacing w:val="-12"/>
                <w:sz w:val="21"/>
                <w:szCs w:val="21"/>
              </w:rPr>
              <w:t>B</w:t>
            </w:r>
            <w:bookmarkEnd w:id="488"/>
            <w:bookmarkEnd w:id="489"/>
            <w:bookmarkEnd w:id="490"/>
            <w:bookmarkEnd w:id="491"/>
            <w:bookmarkEnd w:id="49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5"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8．库房采暖应采用水暖，不得使用蒸汽采暖和机械采暖，其散热器、供暖管道与储存物品的距离不小于0.3m。采暖管道和设备的保温材料应采用非燃烧材料。</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93" w:name="_Toc139854550"/>
            <w:bookmarkStart w:id="494" w:name="_Toc139855988"/>
            <w:bookmarkStart w:id="495" w:name="_Toc139855898"/>
            <w:bookmarkStart w:id="496" w:name="_Toc139854477"/>
            <w:bookmarkStart w:id="497" w:name="_Toc139854431"/>
            <w:r>
              <w:rPr>
                <w:rFonts w:hint="eastAsia" w:ascii="宋体" w:hAnsi="宋体" w:eastAsia="宋体" w:cs="宋体"/>
                <w:spacing w:val="-12"/>
                <w:sz w:val="21"/>
                <w:szCs w:val="21"/>
              </w:rPr>
              <w:t>B</w:t>
            </w:r>
            <w:bookmarkEnd w:id="493"/>
            <w:bookmarkEnd w:id="494"/>
            <w:bookmarkEnd w:id="495"/>
            <w:bookmarkEnd w:id="496"/>
            <w:bookmarkEnd w:id="49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1" w:hRule="atLeas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宋体" w:hAnsi="宋体" w:eastAsia="宋体" w:cs="宋体"/>
                <w:spacing w:val="-12"/>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9．石油库应符合《石油库设计规范》（GB50074）的规定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pacing w:val="-12"/>
                <w:sz w:val="21"/>
                <w:szCs w:val="21"/>
              </w:rPr>
            </w:pPr>
            <w:bookmarkStart w:id="498" w:name="_Toc139855899"/>
            <w:bookmarkStart w:id="499" w:name="_Toc139854432"/>
            <w:bookmarkStart w:id="500" w:name="_Toc139855989"/>
            <w:bookmarkStart w:id="501" w:name="_Toc139854478"/>
            <w:bookmarkStart w:id="502" w:name="_Toc139854551"/>
            <w:r>
              <w:rPr>
                <w:rFonts w:hint="eastAsia" w:ascii="宋体" w:hAnsi="宋体" w:eastAsia="宋体" w:cs="宋体"/>
                <w:spacing w:val="-12"/>
                <w:sz w:val="21"/>
                <w:szCs w:val="21"/>
              </w:rPr>
              <w:t>B</w:t>
            </w:r>
            <w:bookmarkEnd w:id="498"/>
            <w:bookmarkEnd w:id="499"/>
            <w:bookmarkEnd w:id="500"/>
            <w:bookmarkEnd w:id="501"/>
            <w:bookmarkEnd w:id="50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七、</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消</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防</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与</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电</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气</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设</w:t>
            </w:r>
          </w:p>
          <w:p>
            <w:pPr>
              <w:spacing w:line="240" w:lineRule="exact"/>
              <w:ind w:right="-61" w:rightChars="-22"/>
              <w:jc w:val="center"/>
              <w:rPr>
                <w:rFonts w:hint="eastAsia" w:ascii="宋体" w:hAnsi="宋体" w:eastAsia="宋体" w:cs="宋体"/>
                <w:sz w:val="21"/>
                <w:szCs w:val="21"/>
              </w:rPr>
            </w:pPr>
            <w:r>
              <w:rPr>
                <w:rFonts w:hint="eastAsia" w:ascii="宋体" w:hAnsi="宋体" w:eastAsia="宋体" w:cs="宋体"/>
                <w:sz w:val="21"/>
                <w:szCs w:val="21"/>
              </w:rPr>
              <w:t>施</w:t>
            </w: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1．仓库的消防给水和灭火设备应符合《建筑设计防火规范》（GB50016）第八章的规定。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503" w:name="_Toc139855990"/>
            <w:bookmarkStart w:id="504" w:name="_Toc139854433"/>
            <w:bookmarkStart w:id="505" w:name="_Toc139854552"/>
            <w:bookmarkStart w:id="506" w:name="_Toc139855900"/>
            <w:bookmarkStart w:id="507" w:name="_Toc139854479"/>
            <w:r>
              <w:rPr>
                <w:rFonts w:hint="eastAsia" w:ascii="宋体" w:hAnsi="宋体" w:eastAsia="宋体" w:cs="宋体"/>
                <w:sz w:val="21"/>
                <w:szCs w:val="21"/>
              </w:rPr>
              <w:t>B</w:t>
            </w:r>
            <w:bookmarkEnd w:id="503"/>
            <w:bookmarkEnd w:id="504"/>
            <w:bookmarkEnd w:id="505"/>
            <w:bookmarkEnd w:id="506"/>
            <w:bookmarkEnd w:id="507"/>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符合</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2．仓库的消防设施、器材有专人管理。消防器材应设置在明显和便于取用的地点，周围不准存放其它物品。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bookmarkStart w:id="508" w:name="_Toc139855991"/>
            <w:bookmarkStart w:id="509" w:name="_Toc139854553"/>
            <w:bookmarkStart w:id="510" w:name="_Toc139854480"/>
            <w:bookmarkStart w:id="511" w:name="_Toc139854434"/>
            <w:bookmarkStart w:id="512" w:name="_Toc139855901"/>
            <w:r>
              <w:rPr>
                <w:rFonts w:hint="eastAsia" w:ascii="宋体" w:hAnsi="宋体" w:eastAsia="宋体" w:cs="宋体"/>
                <w:sz w:val="21"/>
                <w:szCs w:val="21"/>
              </w:rPr>
              <w:t>B</w:t>
            </w:r>
            <w:bookmarkEnd w:id="508"/>
            <w:bookmarkEnd w:id="509"/>
            <w:bookmarkEnd w:id="510"/>
            <w:bookmarkEnd w:id="511"/>
            <w:bookmarkEnd w:id="512"/>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消防防器材设置在明显和便于取用的地点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3．危险化学品仓库有报警装置，有供对外报警、联络的通讯设备。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有报警装置</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 xml:space="preserve">4．仓库应设置醒目的防火、禁止吸烟和动用明火标志。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设置醒目的禁止吸烟和动用明火标志</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5．仓库的电气设备应符合《建筑防火规范》（GB50016）第十章的规定。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符合</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6．爆炸和火灾危险场所的电气设备应符合《爆炸危险环境电力装置设计规范》(GB50058)的规定。</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氨回收装置区的机柜间设置在爆炸区域内，未采取有效隔离措施</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不合格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7．甲、乙类物品库房设置的电瓶车、铲车是防爆型的。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无此项</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8．库房内不准设置移动式照明灯具，不准设置电炉、电烙铁、电熨斗等电热器具和电视机、电冰箱等家用电器。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未设置移动式照明灯具</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9．散发可燃气体、可燃蒸汽的甲类场所，有可燃气体浓度检漏报警仪。</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设置氨气、氢气报警仪</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10．仓库有符合国家标准《建筑物防雷设计规范》(GB50057)规定的防雷装置。</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氨回收系统有防雷检测合格</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p>
        </w:tc>
        <w:tc>
          <w:tcPr>
            <w:tcW w:w="5356" w:type="dxa"/>
            <w:tcBorders>
              <w:top w:val="single" w:color="auto" w:sz="4" w:space="0"/>
              <w:left w:val="single" w:color="auto" w:sz="4" w:space="0"/>
              <w:bottom w:val="single" w:color="auto" w:sz="4" w:space="0"/>
              <w:right w:val="single" w:color="auto" w:sz="4" w:space="0"/>
            </w:tcBorders>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11．储存甲、乙、丙类物品的储罐、管道及其装卸设施应有符合相应国家标准设计规范规定的防静电措施。 </w:t>
            </w:r>
          </w:p>
        </w:tc>
        <w:tc>
          <w:tcPr>
            <w:tcW w:w="56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B</w:t>
            </w:r>
          </w:p>
        </w:tc>
        <w:tc>
          <w:tcPr>
            <w:tcW w:w="198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氨水储罐区设置了防雷接地</w:t>
            </w:r>
          </w:p>
        </w:tc>
        <w:tc>
          <w:tcPr>
            <w:tcW w:w="6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sz w:val="21"/>
                <w:szCs w:val="21"/>
              </w:rPr>
              <w:t>合格</w:t>
            </w:r>
          </w:p>
        </w:tc>
      </w:tr>
    </w:tbl>
    <w:p>
      <w:pPr>
        <w:pageBreakBefore w:val="0"/>
        <w:kinsoku/>
        <w:wordWrap/>
        <w:overflowPunct/>
        <w:topLinePunct w:val="0"/>
        <w:autoSpaceDE/>
        <w:autoSpaceDN/>
        <w:bidi w:val="0"/>
        <w:spacing w:line="600" w:lineRule="exact"/>
        <w:ind w:firstLine="570"/>
        <w:textAlignment w:val="auto"/>
        <w:rPr>
          <w:rFonts w:hint="eastAsia" w:ascii="宋体" w:hAnsi="宋体" w:eastAsia="宋体" w:cs="宋体"/>
          <w:szCs w:val="28"/>
        </w:rPr>
      </w:pPr>
      <w:r>
        <w:rPr>
          <w:rFonts w:hint="eastAsia" w:ascii="宋体" w:hAnsi="宋体" w:eastAsia="宋体" w:cs="宋体"/>
          <w:szCs w:val="28"/>
        </w:rPr>
        <w:t>注：1.类别栏标注“A”的，属否决项；类别栏标注“B”的，属非否决项。</w:t>
      </w:r>
      <w:r>
        <w:rPr>
          <w:rFonts w:hint="eastAsia" w:ascii="宋体" w:hAnsi="宋体" w:eastAsia="宋体" w:cs="宋体"/>
          <w:szCs w:val="28"/>
        </w:rPr>
        <w:br w:type="textWrapping"/>
      </w:r>
      <w:r>
        <w:rPr>
          <w:rFonts w:hint="eastAsia" w:ascii="宋体" w:hAnsi="宋体" w:eastAsia="宋体" w:cs="宋体"/>
          <w:szCs w:val="28"/>
        </w:rPr>
        <w:t>    2.符合安全要求的条件是：根据现场实际确定的检查项目，检查结果全部合格。</w:t>
      </w:r>
      <w:r>
        <w:rPr>
          <w:rFonts w:hint="eastAsia" w:ascii="宋体" w:hAnsi="宋体" w:eastAsia="宋体" w:cs="宋体"/>
          <w:szCs w:val="28"/>
        </w:rPr>
        <w:br w:type="textWrapping"/>
      </w:r>
      <w:r>
        <w:rPr>
          <w:rFonts w:hint="eastAsia" w:ascii="宋体" w:hAnsi="宋体" w:eastAsia="宋体" w:cs="宋体"/>
          <w:szCs w:val="28"/>
        </w:rPr>
        <w:t>    3.基本符合安全要求的条件是：根据现场实际确定的检查项目中，非否决项的检查结果5项（含项）以内不合格，并且不超过实有非否决项总数的20%。</w:t>
      </w:r>
      <w:r>
        <w:rPr>
          <w:rFonts w:hint="eastAsia" w:ascii="宋体" w:hAnsi="宋体" w:eastAsia="宋体" w:cs="宋体"/>
          <w:szCs w:val="28"/>
        </w:rPr>
        <w:br w:type="textWrapping"/>
      </w:r>
      <w:r>
        <w:rPr>
          <w:rFonts w:hint="eastAsia" w:ascii="宋体" w:hAnsi="宋体" w:eastAsia="宋体" w:cs="宋体"/>
          <w:szCs w:val="28"/>
        </w:rPr>
        <w:t>    4.不符合安全要求的条件是：根据现场实际确定的检查项目中，有1项决项不合格，或者非否决项的检查结果超过5项不合格，或者非否决项的检查结果未超过5项不合格、但超过实有非否决项总数的20%。</w:t>
      </w:r>
    </w:p>
    <w:p>
      <w:pPr>
        <w:pageBreakBefore w:val="0"/>
        <w:kinsoku/>
        <w:wordWrap/>
        <w:overflowPunct/>
        <w:topLinePunct w:val="0"/>
        <w:autoSpaceDE/>
        <w:autoSpaceDN/>
        <w:bidi w:val="0"/>
        <w:spacing w:line="600" w:lineRule="exact"/>
        <w:ind w:firstLine="600"/>
        <w:jc w:val="center"/>
        <w:textAlignment w:val="auto"/>
        <w:rPr>
          <w:rFonts w:hint="eastAsia" w:ascii="宋体" w:hAnsi="宋体" w:eastAsia="宋体" w:cs="宋体"/>
          <w:snapToGrid w:val="0"/>
        </w:rPr>
      </w:pPr>
      <w:r>
        <w:rPr>
          <w:rFonts w:hint="eastAsia" w:ascii="宋体" w:hAnsi="宋体" w:eastAsia="宋体" w:cs="宋体"/>
        </w:rPr>
        <w:t>表6.1-2危险</w:t>
      </w:r>
      <w:r>
        <w:rPr>
          <w:rFonts w:hint="eastAsia" w:ascii="宋体" w:hAnsi="宋体" w:eastAsia="宋体" w:cs="宋体"/>
          <w:snapToGrid w:val="0"/>
        </w:rPr>
        <w:t>化学品经营单位安全评价现场检查表评价结论汇总表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1859"/>
        <w:gridCol w:w="1857"/>
        <w:gridCol w:w="1855"/>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0" w:type="dxa"/>
            <w:vMerge w:val="restart"/>
            <w:tcBorders>
              <w:tl2br w:val="single" w:color="auto" w:sz="4" w:space="0"/>
            </w:tcBorders>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 xml:space="preserve">   类别</w:t>
            </w:r>
          </w:p>
          <w:p>
            <w:pPr>
              <w:spacing w:line="240" w:lineRule="exact"/>
              <w:rPr>
                <w:rFonts w:hint="eastAsia" w:ascii="宋体" w:hAnsi="宋体" w:eastAsia="宋体" w:cs="宋体"/>
                <w:bCs/>
                <w:sz w:val="21"/>
                <w:szCs w:val="21"/>
              </w:rPr>
            </w:pPr>
            <w:r>
              <w:rPr>
                <w:rFonts w:hint="eastAsia" w:ascii="宋体" w:hAnsi="宋体" w:eastAsia="宋体" w:cs="宋体"/>
                <w:bCs/>
                <w:sz w:val="21"/>
                <w:szCs w:val="21"/>
              </w:rPr>
              <w:t>结论</w:t>
            </w:r>
          </w:p>
        </w:tc>
        <w:tc>
          <w:tcPr>
            <w:tcW w:w="3716" w:type="dxa"/>
            <w:gridSpan w:val="2"/>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A项</w:t>
            </w:r>
          </w:p>
        </w:tc>
        <w:tc>
          <w:tcPr>
            <w:tcW w:w="3710" w:type="dxa"/>
            <w:gridSpan w:val="2"/>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B项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0" w:type="dxa"/>
            <w:vMerge w:val="continue"/>
          </w:tcPr>
          <w:p>
            <w:pPr>
              <w:spacing w:line="240" w:lineRule="exact"/>
              <w:jc w:val="center"/>
              <w:rPr>
                <w:rFonts w:hint="eastAsia" w:ascii="宋体" w:hAnsi="宋体" w:eastAsia="宋体" w:cs="宋体"/>
                <w:bCs/>
                <w:sz w:val="21"/>
                <w:szCs w:val="21"/>
              </w:rPr>
            </w:pPr>
          </w:p>
        </w:tc>
        <w:tc>
          <w:tcPr>
            <w:tcW w:w="1859"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合格</w:t>
            </w:r>
          </w:p>
        </w:tc>
        <w:tc>
          <w:tcPr>
            <w:tcW w:w="1857"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不合格</w:t>
            </w:r>
          </w:p>
        </w:tc>
        <w:tc>
          <w:tcPr>
            <w:tcW w:w="1855"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合格</w:t>
            </w:r>
          </w:p>
        </w:tc>
        <w:tc>
          <w:tcPr>
            <w:tcW w:w="1855"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0"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合计</w:t>
            </w:r>
          </w:p>
        </w:tc>
        <w:tc>
          <w:tcPr>
            <w:tcW w:w="1859"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12</w:t>
            </w:r>
          </w:p>
        </w:tc>
        <w:tc>
          <w:tcPr>
            <w:tcW w:w="1857"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0</w:t>
            </w:r>
          </w:p>
        </w:tc>
        <w:tc>
          <w:tcPr>
            <w:tcW w:w="1855"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20</w:t>
            </w:r>
          </w:p>
        </w:tc>
        <w:tc>
          <w:tcPr>
            <w:tcW w:w="1855" w:type="dxa"/>
          </w:tcPr>
          <w:p>
            <w:pPr>
              <w:spacing w:line="24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86" w:type="dxa"/>
            <w:gridSpan w:val="5"/>
          </w:tcPr>
          <w:p>
            <w:pPr>
              <w:spacing w:line="240" w:lineRule="exact"/>
              <w:rPr>
                <w:rFonts w:hint="eastAsia" w:ascii="宋体" w:hAnsi="宋体" w:eastAsia="宋体" w:cs="宋体"/>
                <w:bCs/>
                <w:sz w:val="21"/>
                <w:szCs w:val="21"/>
              </w:rPr>
            </w:pPr>
            <w:r>
              <w:rPr>
                <w:rFonts w:hint="eastAsia" w:ascii="宋体" w:hAnsi="宋体" w:eastAsia="宋体" w:cs="宋体"/>
                <w:bCs/>
                <w:sz w:val="21"/>
                <w:szCs w:val="21"/>
              </w:rPr>
              <w:t xml:space="preserve">    根据该公司的实际情况及现场检查表的要求，共分为7个单元对该公司经营条件进行检查、分析，检查情况汇总如下：</w:t>
            </w:r>
          </w:p>
          <w:p>
            <w:pPr>
              <w:pStyle w:val="65"/>
              <w:numPr>
                <w:ilvl w:val="0"/>
                <w:numId w:val="3"/>
              </w:numPr>
              <w:spacing w:line="240" w:lineRule="exact"/>
              <w:ind w:firstLineChars="0"/>
              <w:rPr>
                <w:rFonts w:hint="eastAsia" w:ascii="宋体" w:hAnsi="宋体" w:eastAsia="宋体" w:cs="宋体"/>
                <w:bCs/>
                <w:sz w:val="21"/>
                <w:szCs w:val="21"/>
              </w:rPr>
            </w:pPr>
            <w:r>
              <w:rPr>
                <w:rFonts w:hint="eastAsia" w:ascii="宋体" w:hAnsi="宋体" w:eastAsia="宋体" w:cs="宋体"/>
                <w:bCs/>
                <w:sz w:val="21"/>
                <w:szCs w:val="21"/>
              </w:rPr>
              <w:t>安全管理制度：安全管理责任制明确，建立了安全管理机构，制定了各项有毒、有害化学品的安全管理制度等内容的制度，安全检查制度，有岗位安全操作规程。</w:t>
            </w:r>
          </w:p>
          <w:p>
            <w:pPr>
              <w:pStyle w:val="65"/>
              <w:numPr>
                <w:ilvl w:val="0"/>
                <w:numId w:val="3"/>
              </w:numPr>
              <w:spacing w:line="240" w:lineRule="exact"/>
              <w:ind w:firstLineChars="0"/>
              <w:rPr>
                <w:rFonts w:hint="eastAsia" w:ascii="宋体" w:hAnsi="宋体" w:eastAsia="宋体" w:cs="宋体"/>
                <w:bCs/>
                <w:sz w:val="21"/>
                <w:szCs w:val="21"/>
              </w:rPr>
            </w:pPr>
            <w:r>
              <w:rPr>
                <w:rFonts w:hint="eastAsia" w:ascii="宋体" w:hAnsi="宋体" w:eastAsia="宋体" w:cs="宋体"/>
                <w:bCs/>
                <w:sz w:val="21"/>
                <w:szCs w:val="21"/>
              </w:rPr>
              <w:t>安全管理组织：成立了安全管理小组，配备了安全管理员。</w:t>
            </w:r>
          </w:p>
          <w:p>
            <w:pPr>
              <w:pStyle w:val="65"/>
              <w:numPr>
                <w:ilvl w:val="0"/>
                <w:numId w:val="3"/>
              </w:numPr>
              <w:spacing w:line="240" w:lineRule="exact"/>
              <w:ind w:firstLineChars="0"/>
              <w:rPr>
                <w:rFonts w:hint="eastAsia" w:ascii="宋体" w:hAnsi="宋体" w:eastAsia="宋体" w:cs="宋体"/>
                <w:bCs/>
                <w:sz w:val="21"/>
                <w:szCs w:val="21"/>
              </w:rPr>
            </w:pPr>
            <w:r>
              <w:rPr>
                <w:rFonts w:hint="eastAsia" w:ascii="宋体" w:hAnsi="宋体" w:eastAsia="宋体" w:cs="宋体"/>
                <w:bCs/>
                <w:sz w:val="21"/>
                <w:szCs w:val="21"/>
              </w:rPr>
              <w:t>从业人员要求：配备了安全管理人员及安全负责人，皆已取得相应证书，经过有关部门培训，具有一定的安全经营意识和安全管理知识。</w:t>
            </w:r>
          </w:p>
          <w:p>
            <w:pPr>
              <w:pStyle w:val="65"/>
              <w:spacing w:line="240" w:lineRule="exact"/>
              <w:ind w:left="1425" w:firstLine="0" w:firstLineChars="0"/>
              <w:rPr>
                <w:rFonts w:hint="eastAsia" w:ascii="宋体" w:hAnsi="宋体" w:eastAsia="宋体" w:cs="宋体"/>
                <w:bCs/>
                <w:sz w:val="21"/>
                <w:szCs w:val="21"/>
              </w:rPr>
            </w:pPr>
            <w:r>
              <w:rPr>
                <w:rFonts w:hint="eastAsia" w:ascii="宋体" w:hAnsi="宋体" w:eastAsia="宋体" w:cs="宋体"/>
                <w:bCs/>
                <w:sz w:val="21"/>
                <w:szCs w:val="21"/>
              </w:rPr>
              <w:t>按照现场检查表的内容对公司进行了现场检查、分析，实有检查项目共</w:t>
            </w:r>
            <w:r>
              <w:rPr>
                <w:rFonts w:hint="eastAsia" w:ascii="宋体" w:hAnsi="宋体" w:eastAsia="宋体" w:cs="宋体"/>
                <w:bCs/>
                <w:sz w:val="21"/>
                <w:szCs w:val="21"/>
                <w:lang w:val="en-US" w:eastAsia="zh-CN"/>
              </w:rPr>
              <w:t>32</w:t>
            </w:r>
            <w:r>
              <w:rPr>
                <w:rFonts w:hint="eastAsia" w:ascii="宋体" w:hAnsi="宋体" w:eastAsia="宋体" w:cs="宋体"/>
                <w:bCs/>
                <w:sz w:val="21"/>
                <w:szCs w:val="21"/>
              </w:rPr>
              <w:t>项，其中A项12项，全部合格；B项20项，1</w:t>
            </w:r>
            <w:r>
              <w:rPr>
                <w:rFonts w:hint="eastAsia" w:ascii="宋体" w:hAnsi="宋体" w:eastAsia="宋体" w:cs="宋体"/>
                <w:bCs/>
                <w:sz w:val="21"/>
                <w:szCs w:val="21"/>
                <w:lang w:val="en-US" w:eastAsia="zh-CN"/>
              </w:rPr>
              <w:t>9</w:t>
            </w:r>
            <w:r>
              <w:rPr>
                <w:rFonts w:hint="eastAsia" w:ascii="宋体" w:hAnsi="宋体" w:eastAsia="宋体" w:cs="宋体"/>
                <w:bCs/>
                <w:sz w:val="21"/>
                <w:szCs w:val="21"/>
              </w:rPr>
              <w:t>项合格。</w:t>
            </w:r>
          </w:p>
        </w:tc>
      </w:tr>
    </w:tbl>
    <w:p>
      <w:pPr>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b/>
          <w:bCs/>
          <w:sz w:val="24"/>
        </w:rPr>
      </w:pPr>
      <w:r>
        <w:rPr>
          <w:rFonts w:hint="eastAsia" w:ascii="宋体" w:hAnsi="宋体" w:eastAsia="宋体" w:cs="宋体"/>
          <w:b/>
          <w:bCs/>
          <w:szCs w:val="28"/>
        </w:rPr>
        <w:t>结论：根据检查表检查，实有检查项目共3</w:t>
      </w:r>
      <w:r>
        <w:rPr>
          <w:rFonts w:hint="eastAsia" w:ascii="宋体" w:hAnsi="宋体" w:eastAsia="宋体" w:cs="宋体"/>
          <w:b/>
          <w:bCs/>
          <w:szCs w:val="28"/>
          <w:lang w:val="en-US" w:eastAsia="zh-CN"/>
        </w:rPr>
        <w:t>2</w:t>
      </w:r>
      <w:r>
        <w:rPr>
          <w:rFonts w:hint="eastAsia" w:ascii="宋体" w:hAnsi="宋体" w:eastAsia="宋体" w:cs="宋体"/>
          <w:b/>
          <w:bCs/>
          <w:szCs w:val="28"/>
        </w:rPr>
        <w:t>项，其中A项12项，全部合格；B项20项，不合格1项</w:t>
      </w:r>
      <w:r>
        <w:rPr>
          <w:rFonts w:hint="eastAsia" w:ascii="宋体" w:hAnsi="宋体" w:eastAsia="宋体" w:cs="宋体"/>
          <w:b/>
          <w:bCs/>
          <w:szCs w:val="28"/>
          <w:lang w:eastAsia="zh-CN"/>
        </w:rPr>
        <w:t>，企业近期经过整改后符合要求</w:t>
      </w:r>
      <w:r>
        <w:rPr>
          <w:rFonts w:hint="eastAsia" w:ascii="宋体" w:hAnsi="宋体" w:eastAsia="宋体" w:cs="宋体"/>
          <w:b/>
          <w:bCs/>
          <w:szCs w:val="28"/>
        </w:rPr>
        <w:t>。因此该公司目前经营情况符合危险化学品安全经营条件</w:t>
      </w:r>
      <w:r>
        <w:rPr>
          <w:rFonts w:hint="eastAsia" w:ascii="宋体" w:hAnsi="宋体" w:eastAsia="宋体" w:cs="宋体"/>
          <w:szCs w:val="28"/>
        </w:rPr>
        <w:t>。</w:t>
      </w:r>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rPr>
      </w:pPr>
      <w:bookmarkStart w:id="513" w:name="_Toc32173"/>
      <w:bookmarkStart w:id="514" w:name="_Toc382290931"/>
      <w:bookmarkStart w:id="515" w:name="_Toc21451"/>
      <w:bookmarkStart w:id="516" w:name="_Toc16184"/>
      <w:bookmarkStart w:id="517" w:name="_Toc10879"/>
      <w:r>
        <w:rPr>
          <w:rFonts w:hint="eastAsia" w:ascii="宋体" w:hAnsi="宋体" w:eastAsia="宋体" w:cs="宋体"/>
        </w:rPr>
        <w:t>6.2《危险化学品经营许可证管理办法》检查表</w:t>
      </w:r>
      <w:bookmarkEnd w:id="513"/>
      <w:bookmarkEnd w:id="514"/>
      <w:bookmarkEnd w:id="515"/>
      <w:bookmarkEnd w:id="516"/>
      <w:bookmarkEnd w:id="517"/>
    </w:p>
    <w:p>
      <w:pPr>
        <w:pStyle w:val="44"/>
        <w:pageBreakBefore w:val="0"/>
        <w:kinsoku/>
        <w:wordWrap/>
        <w:overflowPunct/>
        <w:topLinePunct w:val="0"/>
        <w:autoSpaceDE/>
        <w:autoSpaceDN/>
        <w:bidi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根据《危险化学品经营许可证管理办法》国家安全生产监督管理局令第55号的要求，危险化学品经营企业经营条件检查见表6.2-2。</w:t>
      </w:r>
    </w:p>
    <w:p>
      <w:pPr>
        <w:rPr>
          <w:rFonts w:hint="eastAsia" w:ascii="宋体" w:hAnsi="宋体" w:eastAsia="宋体" w:cs="宋体"/>
          <w:sz w:val="24"/>
        </w:rPr>
      </w:pPr>
      <w:r>
        <w:rPr>
          <w:rFonts w:hint="eastAsia" w:ascii="宋体" w:hAnsi="宋体" w:eastAsia="宋体" w:cs="宋体"/>
          <w:sz w:val="24"/>
        </w:rPr>
        <w:br w:type="page"/>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
          <w:bCs/>
          <w:sz w:val="24"/>
        </w:rPr>
      </w:pPr>
      <w:r>
        <w:rPr>
          <w:rFonts w:hint="eastAsia" w:ascii="宋体" w:hAnsi="宋体" w:eastAsia="宋体" w:cs="宋体"/>
          <w:sz w:val="24"/>
        </w:rPr>
        <w:t>表6.2-2  《危险化学品经营许可证管理办法》检查表</w:t>
      </w:r>
    </w:p>
    <w:tbl>
      <w:tblPr>
        <w:tblStyle w:val="28"/>
        <w:tblW w:w="4996" w:type="pct"/>
        <w:tblInd w:w="0" w:type="dxa"/>
        <w:tblLayout w:type="autofit"/>
        <w:tblCellMar>
          <w:top w:w="0" w:type="dxa"/>
          <w:left w:w="108" w:type="dxa"/>
          <w:bottom w:w="0" w:type="dxa"/>
          <w:right w:w="108" w:type="dxa"/>
        </w:tblCellMar>
      </w:tblPr>
      <w:tblGrid>
        <w:gridCol w:w="829"/>
        <w:gridCol w:w="910"/>
        <w:gridCol w:w="371"/>
        <w:gridCol w:w="4421"/>
        <w:gridCol w:w="1974"/>
        <w:gridCol w:w="776"/>
      </w:tblGrid>
      <w:tr>
        <w:tblPrEx>
          <w:tblCellMar>
            <w:top w:w="0" w:type="dxa"/>
            <w:left w:w="108" w:type="dxa"/>
            <w:bottom w:w="0" w:type="dxa"/>
            <w:right w:w="108" w:type="dxa"/>
          </w:tblCellMar>
        </w:tblPrEx>
        <w:tc>
          <w:tcPr>
            <w:tcW w:w="447" w:type="pct"/>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 xml:space="preserve"> 序号</w:t>
            </w:r>
          </w:p>
        </w:tc>
        <w:tc>
          <w:tcPr>
            <w:tcW w:w="3071" w:type="pct"/>
            <w:gridSpan w:val="3"/>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评价内容</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检查对照情况</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评价结果</w:t>
            </w:r>
          </w:p>
        </w:tc>
      </w:tr>
      <w:tr>
        <w:tblPrEx>
          <w:tblCellMar>
            <w:top w:w="0" w:type="dxa"/>
            <w:left w:w="108" w:type="dxa"/>
            <w:bottom w:w="0" w:type="dxa"/>
            <w:right w:w="108" w:type="dxa"/>
          </w:tblCellMar>
        </w:tblPrEx>
        <w:tc>
          <w:tcPr>
            <w:tcW w:w="447" w:type="pct"/>
            <w:vMerge w:val="restart"/>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490" w:type="pct"/>
            <w:vMerge w:val="restart"/>
            <w:tcBorders>
              <w:left w:val="single" w:color="auto" w:sz="4" w:space="0"/>
              <w:right w:val="single" w:color="auto" w:sz="4" w:space="0"/>
            </w:tcBorders>
            <w:vAlign w:val="center"/>
          </w:tcPr>
          <w:p>
            <w:pPr>
              <w:widowControl/>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具备下列基本条件</w:t>
            </w:r>
          </w:p>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w:t>
            </w:r>
          </w:p>
        </w:tc>
        <w:tc>
          <w:tcPr>
            <w:tcW w:w="2581" w:type="pct"/>
            <w:gridSpan w:val="2"/>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一）经营和储存场所、设施、建筑物符合《建筑设计防火规范》（GB50016）、《石油化工企业设计防火规范》（GB50160）、《汽车加油加气站设计与施工规范》（GB50156）、《石油库设计规范》（GB50074）等相关国家标准、行业标准的规定；</w:t>
            </w:r>
          </w:p>
        </w:tc>
        <w:tc>
          <w:tcPr>
            <w:tcW w:w="1063" w:type="pct"/>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储存场所、设施所满足要求</w:t>
            </w:r>
          </w:p>
        </w:tc>
        <w:tc>
          <w:tcPr>
            <w:tcW w:w="418" w:type="pct"/>
            <w:tcBorders>
              <w:top w:val="single" w:color="000000" w:sz="4" w:space="0"/>
              <w:left w:val="nil"/>
              <w:bottom w:val="single" w:color="000000" w:sz="4" w:space="0"/>
              <w:right w:val="single" w:color="000000" w:sz="4" w:space="0"/>
            </w:tcBorders>
            <w:vAlign w:val="center"/>
          </w:tcPr>
          <w:p>
            <w:pPr>
              <w:widowControl/>
              <w:snapToGrid w:val="0"/>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490"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581" w:type="pct"/>
            <w:gridSpan w:val="2"/>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二）企业主要负责人和安全生产管理人员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1063" w:type="pct"/>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sz w:val="21"/>
                <w:szCs w:val="21"/>
              </w:rPr>
              <w:t>主要负责人、</w:t>
            </w:r>
            <w:r>
              <w:rPr>
                <w:rFonts w:hint="eastAsia" w:ascii="宋体" w:hAnsi="宋体" w:eastAsia="宋体" w:cs="宋体"/>
                <w:kern w:val="0"/>
                <w:sz w:val="21"/>
                <w:szCs w:val="21"/>
              </w:rPr>
              <w:t>安全生产管理人员已取证</w:t>
            </w:r>
          </w:p>
        </w:tc>
        <w:tc>
          <w:tcPr>
            <w:tcW w:w="418" w:type="pct"/>
            <w:tcBorders>
              <w:top w:val="single" w:color="000000" w:sz="4" w:space="0"/>
              <w:left w:val="nil"/>
              <w:bottom w:val="single" w:color="000000" w:sz="4" w:space="0"/>
              <w:right w:val="single" w:color="000000" w:sz="4" w:space="0"/>
            </w:tcBorders>
            <w:vAlign w:val="center"/>
          </w:tcPr>
          <w:p>
            <w:pPr>
              <w:widowControl/>
              <w:snapToGrid w:val="0"/>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490"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581" w:type="pct"/>
            <w:gridSpan w:val="2"/>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（三）有健全的安全生产规章制度和岗位操作规程；</w:t>
            </w:r>
          </w:p>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注：安全生产规章制度是指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1063" w:type="pct"/>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有相应的</w:t>
            </w:r>
            <w:r>
              <w:rPr>
                <w:rFonts w:hint="eastAsia" w:ascii="宋体" w:hAnsi="宋体" w:eastAsia="宋体" w:cs="宋体"/>
                <w:kern w:val="0"/>
                <w:sz w:val="21"/>
                <w:szCs w:val="21"/>
              </w:rPr>
              <w:t>安全生产规章制度和岗位操作规程</w:t>
            </w:r>
          </w:p>
        </w:tc>
        <w:tc>
          <w:tcPr>
            <w:tcW w:w="418" w:type="pct"/>
            <w:tcBorders>
              <w:top w:val="single" w:color="000000" w:sz="4" w:space="0"/>
              <w:left w:val="nil"/>
              <w:bottom w:val="single" w:color="000000" w:sz="4" w:space="0"/>
              <w:right w:val="single" w:color="000000" w:sz="4" w:space="0"/>
            </w:tcBorders>
            <w:vAlign w:val="center"/>
          </w:tcPr>
          <w:p>
            <w:pPr>
              <w:widowControl/>
              <w:snapToGrid w:val="0"/>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490"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581" w:type="pct"/>
            <w:gridSpan w:val="2"/>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（四）有符合国家规定的危险化学品事故应急预案，并配备必要的应急救援器材、设备；</w:t>
            </w:r>
          </w:p>
        </w:tc>
        <w:tc>
          <w:tcPr>
            <w:tcW w:w="1063" w:type="pct"/>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有《预案》，配备应急器材</w:t>
            </w:r>
          </w:p>
        </w:tc>
        <w:tc>
          <w:tcPr>
            <w:tcW w:w="418" w:type="pct"/>
            <w:tcBorders>
              <w:top w:val="single" w:color="000000" w:sz="4" w:space="0"/>
              <w:left w:val="nil"/>
              <w:bottom w:val="single" w:color="000000" w:sz="4" w:space="0"/>
              <w:right w:val="single" w:color="000000"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bottom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490" w:type="pct"/>
            <w:vMerge w:val="continue"/>
            <w:tcBorders>
              <w:left w:val="single" w:color="auto" w:sz="4" w:space="0"/>
              <w:bottom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581" w:type="pct"/>
            <w:gridSpan w:val="2"/>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（五）法律、法规和国家标准或者行业标准规定的其他安全生产条件。</w:t>
            </w:r>
          </w:p>
        </w:tc>
        <w:tc>
          <w:tcPr>
            <w:tcW w:w="1063" w:type="pct"/>
            <w:tcBorders>
              <w:top w:val="single" w:color="000000" w:sz="4" w:space="0"/>
              <w:left w:val="nil"/>
              <w:bottom w:val="single" w:color="000000" w:sz="4" w:space="0"/>
              <w:right w:val="single" w:color="000000" w:sz="4" w:space="0"/>
            </w:tcBorders>
            <w:vAlign w:val="center"/>
          </w:tcPr>
          <w:p>
            <w:pPr>
              <w:widowControl/>
              <w:snapToGrid w:val="0"/>
              <w:spacing w:line="240" w:lineRule="exact"/>
              <w:jc w:val="center"/>
              <w:rPr>
                <w:rFonts w:hint="eastAsia" w:ascii="宋体" w:hAnsi="宋体" w:eastAsia="宋体" w:cs="宋体"/>
                <w:spacing w:val="10"/>
                <w:kern w:val="0"/>
                <w:sz w:val="21"/>
                <w:szCs w:val="21"/>
              </w:rPr>
            </w:pPr>
            <w:r>
              <w:rPr>
                <w:rFonts w:hint="eastAsia" w:ascii="宋体" w:hAnsi="宋体" w:eastAsia="宋体" w:cs="宋体"/>
                <w:spacing w:val="10"/>
                <w:kern w:val="0"/>
                <w:sz w:val="21"/>
                <w:szCs w:val="21"/>
              </w:rPr>
              <w:t>符合相关行业标准要求</w:t>
            </w:r>
          </w:p>
        </w:tc>
        <w:tc>
          <w:tcPr>
            <w:tcW w:w="418" w:type="pct"/>
            <w:tcBorders>
              <w:top w:val="single" w:color="000000" w:sz="4" w:space="0"/>
              <w:left w:val="nil"/>
              <w:bottom w:val="single" w:color="000000" w:sz="4" w:space="0"/>
              <w:right w:val="single" w:color="000000" w:sz="4" w:space="0"/>
            </w:tcBorders>
            <w:vAlign w:val="center"/>
          </w:tcPr>
          <w:p>
            <w:pPr>
              <w:spacing w:line="240" w:lineRule="exact"/>
              <w:jc w:val="center"/>
              <w:rPr>
                <w:rFonts w:hint="eastAsia" w:ascii="宋体" w:hAnsi="宋体" w:eastAsia="宋体" w:cs="宋体"/>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3071" w:type="pct"/>
            <w:gridSpan w:val="3"/>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申请人经营剧毒化学品的，除符合本办法第六条规定的条件外，还应当建立剧毒化学品双人验收、双人保管、双人发货、双把锁、双本账等管理制度。</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无剧毒化学品</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restart"/>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690" w:type="pct"/>
            <w:gridSpan w:val="2"/>
            <w:vMerge w:val="restart"/>
            <w:tcBorders>
              <w:left w:val="single" w:color="auto" w:sz="4" w:space="0"/>
              <w:right w:val="single" w:color="auto" w:sz="4" w:space="0"/>
            </w:tcBorders>
            <w:vAlign w:val="center"/>
          </w:tcPr>
          <w:p>
            <w:pPr>
              <w:widowControl/>
              <w:spacing w:line="240" w:lineRule="exact"/>
              <w:rPr>
                <w:rFonts w:hint="eastAsia" w:ascii="宋体" w:hAnsi="宋体" w:eastAsia="宋体" w:cs="宋体"/>
                <w:kern w:val="0"/>
                <w:sz w:val="21"/>
                <w:szCs w:val="21"/>
              </w:rPr>
            </w:pPr>
            <w:r>
              <w:rPr>
                <w:rFonts w:hint="eastAsia" w:ascii="宋体" w:hAnsi="宋体" w:eastAsia="宋体" w:cs="宋体"/>
                <w:kern w:val="0"/>
                <w:sz w:val="21"/>
                <w:szCs w:val="21"/>
              </w:rPr>
              <w:t>申请人带有储存设施危险化学品经营的，除符合本办法第六条规定的条件外，还应当具备下列条件</w:t>
            </w:r>
          </w:p>
          <w:p>
            <w:pPr>
              <w:widowControl/>
              <w:snapToGrid w:val="0"/>
              <w:spacing w:line="240" w:lineRule="exact"/>
              <w:rPr>
                <w:rFonts w:hint="eastAsia" w:ascii="宋体" w:hAnsi="宋体" w:eastAsia="宋体" w:cs="宋体"/>
                <w:spacing w:val="10"/>
                <w:kern w:val="0"/>
                <w:sz w:val="21"/>
                <w:szCs w:val="21"/>
              </w:rPr>
            </w:pPr>
          </w:p>
        </w:tc>
        <w:tc>
          <w:tcPr>
            <w:tcW w:w="2381" w:type="pc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（一）新设立的专门从事危险化学品仓储经营的，其储存设施建立在地方人民政府规划的用于危险化学品储存的专门区域内；</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非专门从事危险化学品仓储经营</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690" w:type="pct"/>
            <w:gridSpan w:val="2"/>
            <w:vMerge w:val="continue"/>
            <w:tcBorders>
              <w:left w:val="single" w:color="auto" w:sz="4" w:space="0"/>
              <w:right w:val="single" w:color="auto" w:sz="4" w:space="0"/>
            </w:tcBorders>
            <w:vAlign w:val="center"/>
          </w:tcPr>
          <w:p>
            <w:pPr>
              <w:widowControl/>
              <w:spacing w:line="240" w:lineRule="exact"/>
              <w:rPr>
                <w:rFonts w:hint="eastAsia" w:ascii="宋体" w:hAnsi="宋体" w:eastAsia="宋体" w:cs="宋体"/>
                <w:kern w:val="0"/>
                <w:sz w:val="21"/>
                <w:szCs w:val="21"/>
              </w:rPr>
            </w:pPr>
          </w:p>
        </w:tc>
        <w:tc>
          <w:tcPr>
            <w:tcW w:w="2381" w:type="pc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（二）储存设施与相关场所、设施、区域的距离符合有关法律、法规、规章和标准的规定；</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距离符合要求</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center"/>
              <w:rPr>
                <w:rFonts w:hint="eastAsia" w:ascii="宋体" w:hAnsi="宋体" w:eastAsia="宋体" w:cs="宋体"/>
                <w:kern w:val="0"/>
                <w:sz w:val="21"/>
                <w:szCs w:val="21"/>
              </w:rPr>
            </w:pPr>
          </w:p>
        </w:tc>
        <w:tc>
          <w:tcPr>
            <w:tcW w:w="690" w:type="pct"/>
            <w:gridSpan w:val="2"/>
            <w:vMerge w:val="continue"/>
            <w:tcBorders>
              <w:left w:val="single" w:color="auto" w:sz="4" w:space="0"/>
              <w:right w:val="single" w:color="auto" w:sz="4" w:space="0"/>
            </w:tcBorders>
            <w:vAlign w:val="center"/>
          </w:tcPr>
          <w:p>
            <w:pPr>
              <w:widowControl/>
              <w:spacing w:line="240" w:lineRule="exact"/>
              <w:rPr>
                <w:rFonts w:hint="eastAsia" w:ascii="宋体" w:hAnsi="宋体" w:eastAsia="宋体" w:cs="宋体"/>
                <w:kern w:val="0"/>
                <w:sz w:val="21"/>
                <w:szCs w:val="21"/>
              </w:rPr>
            </w:pPr>
          </w:p>
        </w:tc>
        <w:tc>
          <w:tcPr>
            <w:tcW w:w="2381" w:type="pc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（三）依照有关规定进行安全评价；</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正在进行安全评价</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690" w:type="pct"/>
            <w:gridSpan w:val="2"/>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381" w:type="pc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（四）专职安全生产管理人员具备国民教育化工化学类或者安全工程类中等职业教育以上学历，或者化工化学类中级以上专业技术职称，或者危险物品安全类注册安全工程师资格；</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专职安全生产管理人员徐子良为注册安全工程师，执业类别化工安全。</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kern w:val="0"/>
                <w:sz w:val="21"/>
                <w:szCs w:val="21"/>
              </w:rPr>
            </w:pPr>
          </w:p>
        </w:tc>
        <w:tc>
          <w:tcPr>
            <w:tcW w:w="690" w:type="pct"/>
            <w:gridSpan w:val="2"/>
            <w:vMerge w:val="continue"/>
            <w:tcBorders>
              <w:left w:val="single" w:color="auto" w:sz="4" w:space="0"/>
              <w:right w:val="single" w:color="auto" w:sz="4" w:space="0"/>
            </w:tcBorders>
            <w:vAlign w:val="center"/>
          </w:tcPr>
          <w:p>
            <w:pPr>
              <w:widowControl/>
              <w:spacing w:line="240" w:lineRule="exact"/>
              <w:jc w:val="left"/>
              <w:rPr>
                <w:rFonts w:hint="eastAsia" w:ascii="宋体" w:hAnsi="宋体" w:eastAsia="宋体" w:cs="宋体"/>
                <w:spacing w:val="10"/>
                <w:kern w:val="0"/>
                <w:sz w:val="21"/>
                <w:szCs w:val="21"/>
              </w:rPr>
            </w:pPr>
          </w:p>
        </w:tc>
        <w:tc>
          <w:tcPr>
            <w:tcW w:w="2381" w:type="pct"/>
            <w:tcBorders>
              <w:top w:val="single" w:color="000000" w:sz="4" w:space="0"/>
              <w:left w:val="single" w:color="auto" w:sz="4" w:space="0"/>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（五）符合《危险化学品安全管理条例》、《危险化学品重大危险源监督管理暂行规定》、《常用危险化学品贮存通则》（GB15603）的相关规定。</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符合相关规范</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r>
        <w:tblPrEx>
          <w:tblCellMar>
            <w:top w:w="0" w:type="dxa"/>
            <w:left w:w="108" w:type="dxa"/>
            <w:bottom w:w="0" w:type="dxa"/>
            <w:right w:w="108" w:type="dxa"/>
          </w:tblCellMar>
        </w:tblPrEx>
        <w:tc>
          <w:tcPr>
            <w:tcW w:w="447"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3071" w:type="pct"/>
            <w:gridSpan w:val="3"/>
            <w:tcBorders>
              <w:top w:val="single" w:color="000000" w:sz="4" w:space="0"/>
              <w:left w:val="nil"/>
              <w:bottom w:val="single" w:color="000000" w:sz="4" w:space="0"/>
              <w:right w:val="single" w:color="000000" w:sz="4" w:space="0"/>
            </w:tcBorders>
            <w:vAlign w:val="center"/>
          </w:tcPr>
          <w:p>
            <w:pPr>
              <w:widowControl/>
              <w:snapToGrid w:val="0"/>
              <w:spacing w:line="240" w:lineRule="exact"/>
              <w:rPr>
                <w:rFonts w:hint="eastAsia" w:ascii="宋体" w:hAnsi="宋体" w:eastAsia="宋体" w:cs="宋体"/>
                <w:spacing w:val="10"/>
                <w:kern w:val="0"/>
                <w:sz w:val="21"/>
                <w:szCs w:val="21"/>
              </w:rPr>
            </w:pPr>
            <w:r>
              <w:rPr>
                <w:rFonts w:hint="eastAsia" w:ascii="宋体" w:hAnsi="宋体" w:eastAsia="宋体" w:cs="宋体"/>
                <w:kern w:val="0"/>
                <w:sz w:val="21"/>
                <w:szCs w:val="21"/>
              </w:rPr>
              <w:t>申请人储存易燃、易爆、有毒、易扩散危险化学品的，除符合第1条第一款规定的条件外，还应当符合《石油化工可燃气体和有毒气体检测报警设计规范》（GB50493）的规定。</w:t>
            </w:r>
          </w:p>
        </w:tc>
        <w:tc>
          <w:tcPr>
            <w:tcW w:w="1063"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可燃气体报警探测器符合GB50493的规定</w:t>
            </w:r>
          </w:p>
        </w:tc>
        <w:tc>
          <w:tcPr>
            <w:tcW w:w="418" w:type="pct"/>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合格</w:t>
            </w:r>
          </w:p>
        </w:tc>
      </w:tr>
    </w:tbl>
    <w:p>
      <w:pPr>
        <w:widowControl/>
        <w:snapToGrid w:val="0"/>
        <w:spacing w:line="600" w:lineRule="exact"/>
        <w:ind w:firstLine="420"/>
        <w:rPr>
          <w:rFonts w:hint="eastAsia" w:ascii="宋体" w:hAnsi="宋体" w:eastAsia="宋体" w:cs="宋体"/>
          <w:b/>
          <w:bCs/>
          <w:kern w:val="0"/>
          <w:sz w:val="24"/>
        </w:rPr>
      </w:pPr>
      <w:r>
        <w:rPr>
          <w:rFonts w:hint="eastAsia" w:ascii="宋体" w:hAnsi="宋体" w:eastAsia="宋体" w:cs="宋体"/>
          <w:b/>
          <w:bCs/>
          <w:kern w:val="0"/>
          <w:sz w:val="24"/>
        </w:rPr>
        <w:t>检查结果：根据《危险化学品经营许可证管理办法》（国家安全生产监督管理总局令第55号），对该单位的经营条件逐一进行了检查，符合危险化学品经营许可条件。</w:t>
      </w:r>
    </w:p>
    <w:p>
      <w:pPr>
        <w:widowControl/>
        <w:snapToGrid w:val="0"/>
        <w:spacing w:line="600" w:lineRule="exact"/>
        <w:ind w:firstLine="420"/>
        <w:rPr>
          <w:rFonts w:hint="eastAsia" w:ascii="宋体" w:hAnsi="宋体" w:eastAsia="宋体" w:cs="宋体"/>
          <w:kern w:val="0"/>
          <w:sz w:val="24"/>
        </w:rPr>
        <w:sectPr>
          <w:footerReference r:id="rId9" w:type="default"/>
          <w:pgSz w:w="11906" w:h="16838"/>
          <w:pgMar w:top="1417" w:right="1417" w:bottom="1417" w:left="1417" w:header="850" w:footer="992" w:gutter="0"/>
          <w:cols w:space="720" w:num="1"/>
          <w:docGrid w:type="linesAndChars" w:linePitch="312" w:charSpace="0"/>
        </w:sectPr>
      </w:pPr>
    </w:p>
    <w:p>
      <w:pPr>
        <w:pStyle w:val="3"/>
        <w:pageBreakBefore w:val="0"/>
        <w:kinsoku/>
        <w:wordWrap/>
        <w:overflowPunct/>
        <w:topLinePunct w:val="0"/>
        <w:autoSpaceDE/>
        <w:autoSpaceDN/>
        <w:bidi w:val="0"/>
        <w:spacing w:line="600" w:lineRule="exact"/>
        <w:textAlignment w:val="auto"/>
        <w:rPr>
          <w:rFonts w:hint="eastAsia" w:ascii="宋体" w:hAnsi="宋体" w:eastAsia="宋体" w:cs="宋体"/>
          <w:szCs w:val="32"/>
        </w:rPr>
      </w:pPr>
      <w:bookmarkStart w:id="518" w:name="_Toc14301"/>
      <w:bookmarkStart w:id="519" w:name="_Toc10826"/>
      <w:bookmarkStart w:id="520" w:name="_Toc4953"/>
      <w:bookmarkStart w:id="521" w:name="_Toc28749"/>
      <w:bookmarkStart w:id="522" w:name="_Toc4452"/>
      <w:bookmarkStart w:id="523" w:name="_Toc525109178"/>
      <w:r>
        <w:rPr>
          <w:rFonts w:hint="eastAsia" w:ascii="宋体" w:hAnsi="宋体" w:eastAsia="宋体" w:cs="宋体"/>
          <w:szCs w:val="32"/>
        </w:rPr>
        <w:t>7 安全经营条件符合性评价</w:t>
      </w:r>
      <w:bookmarkEnd w:id="518"/>
      <w:bookmarkEnd w:id="519"/>
      <w:bookmarkEnd w:id="520"/>
      <w:bookmarkEnd w:id="521"/>
      <w:bookmarkEnd w:id="522"/>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524" w:name="_Toc270927297"/>
      <w:bookmarkStart w:id="525" w:name="_Toc226136829"/>
      <w:bookmarkStart w:id="526" w:name="_Toc306969197"/>
      <w:bookmarkStart w:id="527" w:name="_Toc216171513"/>
      <w:bookmarkStart w:id="528" w:name="_Toc355790612"/>
      <w:bookmarkStart w:id="529" w:name="_Toc26853"/>
      <w:bookmarkStart w:id="530" w:name="_Toc12673"/>
      <w:bookmarkStart w:id="531" w:name="_Toc21471"/>
      <w:bookmarkStart w:id="532" w:name="_Toc17311"/>
      <w:bookmarkStart w:id="533" w:name="_Toc409074869"/>
      <w:bookmarkStart w:id="534" w:name="_Toc486427814"/>
      <w:bookmarkStart w:id="535" w:name="_Toc22344"/>
      <w:bookmarkStart w:id="536" w:name="_Toc12283"/>
      <w:r>
        <w:rPr>
          <w:rFonts w:hint="eastAsia" w:ascii="宋体" w:hAnsi="宋体" w:eastAsia="宋体" w:cs="宋体"/>
          <w:sz w:val="30"/>
          <w:szCs w:val="30"/>
        </w:rPr>
        <w:t>7.1总体布局符合性</w:t>
      </w:r>
      <w:bookmarkEnd w:id="524"/>
      <w:bookmarkEnd w:id="525"/>
      <w:bookmarkEnd w:id="526"/>
      <w:bookmarkEnd w:id="527"/>
      <w:bookmarkEnd w:id="528"/>
      <w:r>
        <w:rPr>
          <w:rFonts w:hint="eastAsia" w:ascii="宋体" w:hAnsi="宋体" w:eastAsia="宋体" w:cs="宋体"/>
          <w:sz w:val="30"/>
          <w:szCs w:val="30"/>
        </w:rPr>
        <w:t>评价</w:t>
      </w:r>
      <w:bookmarkEnd w:id="529"/>
      <w:bookmarkEnd w:id="530"/>
      <w:bookmarkEnd w:id="531"/>
      <w:bookmarkEnd w:id="532"/>
      <w:bookmarkEnd w:id="533"/>
      <w:bookmarkEnd w:id="534"/>
      <w:bookmarkEnd w:id="535"/>
      <w:bookmarkEnd w:id="536"/>
    </w:p>
    <w:p>
      <w:pPr>
        <w:pageBreakBefore w:val="0"/>
        <w:kinsoku/>
        <w:wordWrap/>
        <w:overflowPunct/>
        <w:topLinePunct w:val="0"/>
        <w:autoSpaceDE/>
        <w:autoSpaceDN/>
        <w:bidi w:val="0"/>
        <w:spacing w:line="600" w:lineRule="exact"/>
        <w:ind w:firstLine="562" w:firstLineChars="200"/>
        <w:textAlignment w:val="auto"/>
        <w:rPr>
          <w:rFonts w:hint="eastAsia" w:ascii="宋体" w:hAnsi="宋体" w:eastAsia="宋体" w:cs="宋体"/>
          <w:szCs w:val="28"/>
        </w:rPr>
      </w:pPr>
      <w:r>
        <w:rPr>
          <w:rFonts w:hint="eastAsia" w:ascii="宋体" w:hAnsi="宋体" w:eastAsia="宋体" w:cs="宋体"/>
          <w:b/>
          <w:szCs w:val="28"/>
        </w:rPr>
        <w:t>1）厂址与总平面布置安全检查</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
          <w:bCs/>
          <w:szCs w:val="28"/>
        </w:rPr>
      </w:pPr>
      <w:r>
        <w:rPr>
          <w:rFonts w:hint="eastAsia" w:ascii="宋体" w:hAnsi="宋体" w:eastAsia="宋体" w:cs="宋体"/>
          <w:b/>
          <w:bCs/>
          <w:szCs w:val="28"/>
          <w:lang w:val="zh-CN"/>
        </w:rPr>
        <w:t>表</w:t>
      </w:r>
      <w:r>
        <w:rPr>
          <w:rFonts w:hint="eastAsia" w:ascii="宋体" w:hAnsi="宋体" w:eastAsia="宋体" w:cs="宋体"/>
          <w:b/>
          <w:bCs/>
          <w:szCs w:val="28"/>
        </w:rPr>
        <w:t>7.1</w:t>
      </w:r>
      <w:r>
        <w:rPr>
          <w:rFonts w:hint="eastAsia" w:ascii="宋体" w:hAnsi="宋体" w:eastAsia="宋体" w:cs="宋体"/>
          <w:b/>
          <w:bCs/>
          <w:szCs w:val="28"/>
          <w:lang w:val="zh-CN"/>
        </w:rPr>
        <w:t>-1</w:t>
      </w:r>
      <w:r>
        <w:rPr>
          <w:rFonts w:hint="eastAsia" w:ascii="宋体" w:hAnsi="宋体" w:eastAsia="宋体" w:cs="宋体"/>
          <w:b/>
          <w:bCs/>
          <w:szCs w:val="28"/>
        </w:rPr>
        <w:t xml:space="preserve">  </w:t>
      </w:r>
      <w:r>
        <w:rPr>
          <w:rFonts w:hint="eastAsia" w:ascii="宋体" w:hAnsi="宋体" w:eastAsia="宋体" w:cs="宋体"/>
          <w:b/>
          <w:szCs w:val="28"/>
          <w:lang w:val="zh-CN"/>
        </w:rPr>
        <w:t>总平面布置及建筑物安全检查表</w:t>
      </w:r>
    </w:p>
    <w:tbl>
      <w:tblPr>
        <w:tblStyle w:val="28"/>
        <w:tblW w:w="940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26"/>
        <w:gridCol w:w="4638"/>
        <w:gridCol w:w="1819"/>
        <w:gridCol w:w="1803"/>
        <w:gridCol w:w="7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4638" w:type="dxa"/>
            <w:vAlign w:val="center"/>
          </w:tcPr>
          <w:p>
            <w:pPr>
              <w:pStyle w:val="21"/>
              <w:pBdr>
                <w:bottom w:val="none" w:color="auto" w:sz="0" w:space="0"/>
              </w:pBdr>
              <w:tabs>
                <w:tab w:val="clear" w:pos="4153"/>
                <w:tab w:val="clear" w:pos="8306"/>
              </w:tabs>
              <w:snapToGrid/>
              <w:spacing w:line="280" w:lineRule="exact"/>
              <w:rPr>
                <w:rFonts w:hint="eastAsia" w:ascii="宋体" w:hAnsi="宋体" w:eastAsia="宋体" w:cs="宋体"/>
                <w:sz w:val="21"/>
                <w:szCs w:val="21"/>
              </w:rPr>
            </w:pPr>
            <w:r>
              <w:rPr>
                <w:rFonts w:hint="eastAsia" w:ascii="宋体" w:hAnsi="宋体" w:eastAsia="宋体" w:cs="宋体"/>
                <w:sz w:val="21"/>
                <w:szCs w:val="21"/>
              </w:rPr>
              <w:t>检查内容</w:t>
            </w:r>
          </w:p>
        </w:tc>
        <w:tc>
          <w:tcPr>
            <w:tcW w:w="1819" w:type="dxa"/>
            <w:vAlign w:val="center"/>
          </w:tcPr>
          <w:p>
            <w:pPr>
              <w:pStyle w:val="21"/>
              <w:pBdr>
                <w:bottom w:val="none" w:color="auto" w:sz="0" w:space="0"/>
              </w:pBdr>
              <w:tabs>
                <w:tab w:val="clear" w:pos="4153"/>
                <w:tab w:val="clear" w:pos="8306"/>
              </w:tabs>
              <w:snapToGrid/>
              <w:spacing w:line="280" w:lineRule="exact"/>
              <w:rPr>
                <w:rFonts w:hint="eastAsia" w:ascii="宋体" w:hAnsi="宋体" w:eastAsia="宋体" w:cs="宋体"/>
                <w:sz w:val="21"/>
                <w:szCs w:val="21"/>
              </w:rPr>
            </w:pPr>
            <w:r>
              <w:rPr>
                <w:rFonts w:hint="eastAsia" w:ascii="宋体" w:hAnsi="宋体" w:eastAsia="宋体" w:cs="宋体"/>
                <w:sz w:val="21"/>
                <w:szCs w:val="21"/>
              </w:rPr>
              <w:t>实际情况</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法律、法规、标准等依据</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评价结果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一</w:t>
            </w:r>
          </w:p>
        </w:tc>
        <w:tc>
          <w:tcPr>
            <w:tcW w:w="8974" w:type="dxa"/>
            <w:gridSpan w:val="4"/>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厂址选择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居住区、交通运输、动力公用设施、废料场及环境保护工程等用地，应与厂区用地同时选择</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符合要求</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厂址选择应对原料和燃料及辅助材料的来源、产品流向、建设条件、经济、社会、人文、环境保护等各种因素进行深入的调查研究，并应对其进行多方案技术经济比较，择优确定</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项目前期工作进行了充分论证，符合要求。</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厂址宜靠近原料、燃料基地或产品主要销售地。并应有方便、经济的交通运输条件，与厂外铁路、公路、港口的连接，应短捷，且工程量小</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项目紧临分输站</w:t>
            </w:r>
            <w:r>
              <w:rPr>
                <w:rFonts w:hint="eastAsia" w:ascii="宋体" w:hAnsi="宋体" w:eastAsia="宋体" w:cs="宋体"/>
                <w:kern w:val="0"/>
                <w:sz w:val="21"/>
                <w:szCs w:val="21"/>
              </w:rPr>
              <w:t>，且交通运输较方便，符合要求</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厂址应具有满足建设工程需要的工程地质条件和水文地质条件</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厂区内，地质条件符合要求。</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厂址应满足工业企业近期所必需的场地面积和适宜的地形坡度。并应根据工业企业远期发展规划的需要，适当留有发展的余地</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满足工业企业近期所必需的场地面积和适宜的地形坡度。</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厂址应有利于同邻近工业企业和依托城镇在生产、交通运输、动力公用、修理、综合利用和生活设施等方面的协作</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本项目</w:t>
            </w:r>
            <w:r>
              <w:rPr>
                <w:rFonts w:hint="eastAsia" w:ascii="宋体" w:hAnsi="宋体" w:eastAsia="宋体" w:cs="宋体"/>
                <w:kern w:val="0"/>
                <w:sz w:val="21"/>
                <w:szCs w:val="21"/>
              </w:rPr>
              <w:t>生产、交通运输、动力公用、修理、综合利用和生活设施较完善</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4638"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厂址应位于不受洪水、潮水或内涝威胁的地带</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无内涝威胁的地带</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二</w:t>
            </w:r>
          </w:p>
        </w:tc>
        <w:tc>
          <w:tcPr>
            <w:tcW w:w="8974" w:type="dxa"/>
            <w:gridSpan w:val="4"/>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总体规划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工业企业总体规划，应结合工业企业所在区域的技术经济、自然条件等进行编制，并应满足生产、运输、防震、防洪、防火、安全、卫生、环境保护和职工生活设施的需要，经多方案技术经济比较后，择优确定</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符合当地经济发展要求，厂址选择</w:t>
            </w:r>
            <w:r>
              <w:rPr>
                <w:rFonts w:hint="eastAsia" w:ascii="宋体" w:hAnsi="宋体" w:eastAsia="宋体" w:cs="宋体"/>
                <w:kern w:val="0"/>
                <w:sz w:val="21"/>
                <w:szCs w:val="21"/>
              </w:rPr>
              <w:t>满足生产、运输、防震、防洪、防火、安全、卫生、环境保护和职工生活设施的需要，符合要求</w:t>
            </w:r>
            <w:r>
              <w:rPr>
                <w:rFonts w:hint="eastAsia" w:ascii="宋体" w:hAnsi="宋体" w:eastAsia="宋体" w:cs="宋体"/>
                <w:sz w:val="21"/>
                <w:szCs w:val="21"/>
              </w:rPr>
              <w:t>。</w:t>
            </w:r>
          </w:p>
        </w:tc>
        <w:tc>
          <w:tcPr>
            <w:tcW w:w="1803"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工业企业总体规划，应符合城镇总体规划的要求</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符合城镇总体规划的要求</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厂区、居住区、交通运输、动力公用设施、防洪排涝、废料场、尾矿场、排土场、环境保护工程和综合利用场地等，应同时规划。当有的大型工业企业必须设置施工生产基地时，亦应同时规划</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kern w:val="0"/>
                <w:sz w:val="21"/>
                <w:szCs w:val="21"/>
              </w:rPr>
              <w:t>设计施工时同时考虑</w:t>
            </w:r>
            <w:r>
              <w:rPr>
                <w:rFonts w:hint="eastAsia" w:ascii="宋体" w:hAnsi="宋体" w:eastAsia="宋体" w:cs="宋体"/>
                <w:sz w:val="21"/>
                <w:szCs w:val="21"/>
              </w:rPr>
              <w:t>。</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工业企业分期建设时，总体规划应正确处理近期和远期的关系。近期集中布置，远期预留发展，分期征地，严禁先征待用</w:t>
            </w:r>
            <w:r>
              <w:rPr>
                <w:rFonts w:hint="eastAsia" w:ascii="宋体" w:hAnsi="宋体" w:eastAsia="宋体" w:cs="宋体"/>
                <w:sz w:val="21"/>
                <w:szCs w:val="21"/>
              </w:rPr>
              <w:t>。</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厂区留有发展预留空地。</w:t>
            </w:r>
          </w:p>
        </w:tc>
        <w:tc>
          <w:tcPr>
            <w:tcW w:w="1803" w:type="dxa"/>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26"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4638" w:type="dxa"/>
            <w:vAlign w:val="center"/>
          </w:tcPr>
          <w:p>
            <w:pPr>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联合企业中不同类型的工厂，应按生产性质、相互关系、协作条件等因素分区集中布置。对产生有害气体、烟、雾、粉尘等有害物质的工厂，必须采取治理措施，其有害物质排放的浓度，必须符合现行国家标准《工业企业设计卫生标准》的规定。</w:t>
            </w:r>
          </w:p>
        </w:tc>
        <w:tc>
          <w:tcPr>
            <w:tcW w:w="1819" w:type="dxa"/>
            <w:vAlign w:val="center"/>
          </w:tcPr>
          <w:p>
            <w:pPr>
              <w:spacing w:line="280" w:lineRule="exact"/>
              <w:rPr>
                <w:rFonts w:hint="eastAsia" w:ascii="宋体" w:hAnsi="宋体" w:eastAsia="宋体" w:cs="宋体"/>
                <w:sz w:val="21"/>
                <w:szCs w:val="21"/>
              </w:rPr>
            </w:pPr>
            <w:r>
              <w:rPr>
                <w:rFonts w:hint="eastAsia" w:ascii="宋体" w:hAnsi="宋体" w:eastAsia="宋体" w:cs="宋体"/>
                <w:sz w:val="21"/>
                <w:szCs w:val="21"/>
              </w:rPr>
              <w:t>本建设项目装置工艺技术成熟，废气排放治理到位。</w:t>
            </w:r>
          </w:p>
        </w:tc>
        <w:tc>
          <w:tcPr>
            <w:tcW w:w="1803"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kern w:val="0"/>
                <w:sz w:val="21"/>
                <w:szCs w:val="21"/>
              </w:rPr>
              <w:t>《工业企业总平面设计规范》(GB50187-2012)</w:t>
            </w:r>
          </w:p>
        </w:tc>
        <w:tc>
          <w:tcPr>
            <w:tcW w:w="714"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bl>
    <w:p>
      <w:pPr>
        <w:pageBreakBefore w:val="0"/>
        <w:kinsoku/>
        <w:wordWrap/>
        <w:overflowPunct/>
        <w:topLinePunct w:val="0"/>
        <w:autoSpaceDE/>
        <w:autoSpaceDN/>
        <w:bidi w:val="0"/>
        <w:spacing w:line="600" w:lineRule="exact"/>
        <w:ind w:firstLine="560" w:firstLineChars="200"/>
        <w:jc w:val="left"/>
        <w:textAlignment w:val="auto"/>
        <w:rPr>
          <w:rFonts w:hint="eastAsia" w:ascii="宋体" w:hAnsi="宋体" w:eastAsia="宋体" w:cs="宋体"/>
          <w:szCs w:val="28"/>
        </w:rPr>
      </w:pPr>
      <w:r>
        <w:rPr>
          <w:rFonts w:hint="eastAsia" w:ascii="宋体" w:hAnsi="宋体" w:eastAsia="宋体" w:cs="宋体"/>
          <w:szCs w:val="28"/>
        </w:rPr>
        <w:t>评价结论：建设项目的选址符合国家有关法律法规的要求</w:t>
      </w:r>
    </w:p>
    <w:p>
      <w:pPr>
        <w:pStyle w:val="4"/>
        <w:pageBreakBefore w:val="0"/>
        <w:kinsoku/>
        <w:wordWrap/>
        <w:overflowPunct/>
        <w:topLinePunct w:val="0"/>
        <w:autoSpaceDE/>
        <w:autoSpaceDN/>
        <w:bidi w:val="0"/>
        <w:spacing w:line="600" w:lineRule="exact"/>
        <w:textAlignment w:val="auto"/>
        <w:rPr>
          <w:rFonts w:hint="eastAsia" w:ascii="宋体" w:hAnsi="宋体" w:eastAsia="宋体" w:cs="宋体"/>
          <w:sz w:val="30"/>
          <w:szCs w:val="30"/>
        </w:rPr>
      </w:pPr>
      <w:bookmarkStart w:id="537" w:name="_Toc350506800"/>
      <w:bookmarkStart w:id="538" w:name="_Toc24574"/>
      <w:bookmarkStart w:id="539" w:name="_Toc17524"/>
      <w:bookmarkStart w:id="540" w:name="_Toc486427815"/>
      <w:bookmarkStart w:id="541" w:name="_Toc17762"/>
      <w:bookmarkStart w:id="542" w:name="_Toc14505"/>
      <w:bookmarkStart w:id="543" w:name="_Toc23739"/>
      <w:bookmarkStart w:id="544" w:name="_Toc213219141"/>
      <w:bookmarkStart w:id="545" w:name="_Toc341993542"/>
      <w:bookmarkStart w:id="546" w:name="_Toc199581526"/>
      <w:bookmarkStart w:id="547" w:name="_Toc213219696"/>
      <w:bookmarkStart w:id="548" w:name="_Toc213219777"/>
      <w:bookmarkStart w:id="549" w:name="_Toc213219613"/>
      <w:bookmarkStart w:id="550" w:name="_Toc166919824"/>
      <w:bookmarkStart w:id="551" w:name="_Toc111106174"/>
      <w:bookmarkStart w:id="552" w:name="_Toc145841644"/>
      <w:bookmarkStart w:id="553" w:name="_Toc115317561"/>
      <w:r>
        <w:rPr>
          <w:rFonts w:hint="eastAsia" w:ascii="宋体" w:hAnsi="宋体" w:eastAsia="宋体" w:cs="宋体"/>
          <w:sz w:val="30"/>
          <w:szCs w:val="30"/>
        </w:rPr>
        <w:t>7.2常规防护设施</w:t>
      </w:r>
      <w:bookmarkEnd w:id="537"/>
      <w:r>
        <w:rPr>
          <w:rFonts w:hint="eastAsia" w:ascii="宋体" w:hAnsi="宋体" w:eastAsia="宋体" w:cs="宋体"/>
          <w:sz w:val="30"/>
          <w:szCs w:val="30"/>
        </w:rPr>
        <w:t>安全评价</w:t>
      </w:r>
      <w:bookmarkEnd w:id="538"/>
      <w:bookmarkEnd w:id="539"/>
      <w:bookmarkEnd w:id="540"/>
      <w:bookmarkEnd w:id="541"/>
      <w:bookmarkEnd w:id="542"/>
      <w:bookmarkEnd w:id="543"/>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
          <w:szCs w:val="28"/>
        </w:rPr>
      </w:pPr>
      <w:r>
        <w:rPr>
          <w:rFonts w:hint="eastAsia" w:ascii="宋体" w:hAnsi="宋体" w:eastAsia="宋体" w:cs="宋体"/>
          <w:b/>
          <w:szCs w:val="28"/>
        </w:rPr>
        <w:t>表7.2-1 常规防护设施安全检查表</w:t>
      </w:r>
    </w:p>
    <w:tbl>
      <w:tblPr>
        <w:tblStyle w:val="28"/>
        <w:tblW w:w="9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7"/>
        <w:gridCol w:w="3673"/>
        <w:gridCol w:w="2374"/>
        <w:gridCol w:w="1910"/>
        <w:gridCol w:w="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27" w:type="dxa"/>
            <w:shd w:val="clear" w:color="auto" w:fill="auto"/>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673" w:type="dxa"/>
            <w:shd w:val="clear" w:color="auto" w:fill="auto"/>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2374" w:type="dxa"/>
            <w:shd w:val="clear" w:color="auto" w:fill="auto"/>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910" w:type="dxa"/>
            <w:shd w:val="clear" w:color="auto" w:fill="auto"/>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检查结果</w:t>
            </w:r>
          </w:p>
        </w:tc>
        <w:tc>
          <w:tcPr>
            <w:tcW w:w="920" w:type="dxa"/>
            <w:shd w:val="clear" w:color="auto" w:fill="auto"/>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673"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贮存化学危险品的建筑物区域内严禁吸烟和使用明火4.9</w:t>
            </w:r>
          </w:p>
        </w:tc>
        <w:tc>
          <w:tcPr>
            <w:tcW w:w="2374"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《常用危险化学品储存通则》GB15603-1995第4.9款</w:t>
            </w:r>
          </w:p>
        </w:tc>
        <w:tc>
          <w:tcPr>
            <w:tcW w:w="1910"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氨回收装置区未设置禁止烟火警示标志</w:t>
            </w:r>
          </w:p>
        </w:tc>
        <w:tc>
          <w:tcPr>
            <w:tcW w:w="920"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3673"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凡容易发生事故的地方，应按照GB2894的要求设置安全标志，或在设备或建筑上按GB2893的要求图安全色</w:t>
            </w:r>
          </w:p>
        </w:tc>
        <w:tc>
          <w:tcPr>
            <w:tcW w:w="2374"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《生产过程安全卫生要求总则》GB/T12801-2008</w:t>
            </w:r>
          </w:p>
        </w:tc>
        <w:tc>
          <w:tcPr>
            <w:tcW w:w="1910"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氨回收装置区缺少危险介质安全告知牌</w:t>
            </w:r>
          </w:p>
        </w:tc>
        <w:tc>
          <w:tcPr>
            <w:tcW w:w="920"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3673"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生产场所、作业点的紧急通道和出入口，应设置明显的标志</w:t>
            </w:r>
          </w:p>
        </w:tc>
        <w:tc>
          <w:tcPr>
            <w:tcW w:w="2374"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《生产过程安全卫生要求总则》GB/T12801-2008</w:t>
            </w:r>
          </w:p>
        </w:tc>
        <w:tc>
          <w:tcPr>
            <w:tcW w:w="1910"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氨回收装置区出入口未设置应急疏散警示标识</w:t>
            </w:r>
          </w:p>
        </w:tc>
        <w:tc>
          <w:tcPr>
            <w:tcW w:w="920"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3673"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作业场所采光、照明应符合相应标准</w:t>
            </w:r>
          </w:p>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的要求</w:t>
            </w:r>
          </w:p>
        </w:tc>
        <w:tc>
          <w:tcPr>
            <w:tcW w:w="2374" w:type="dxa"/>
            <w:vAlign w:val="center"/>
          </w:tcPr>
          <w:p>
            <w:pPr>
              <w:adjustRightInd w:val="0"/>
              <w:snapToGrid w:val="0"/>
              <w:spacing w:line="280" w:lineRule="exact"/>
              <w:jc w:val="left"/>
              <w:rPr>
                <w:rFonts w:hint="eastAsia" w:ascii="宋体" w:hAnsi="宋体" w:eastAsia="宋体" w:cs="宋体"/>
                <w:spacing w:val="-20"/>
                <w:sz w:val="21"/>
                <w:szCs w:val="21"/>
              </w:rPr>
            </w:pPr>
            <w:r>
              <w:rPr>
                <w:rFonts w:hint="eastAsia" w:ascii="宋体" w:hAnsi="宋体" w:eastAsia="宋体" w:cs="宋体"/>
                <w:sz w:val="21"/>
                <w:szCs w:val="21"/>
              </w:rPr>
              <w:t>《建筑采光设计标准》《建筑照明设计标准》</w:t>
            </w:r>
          </w:p>
        </w:tc>
        <w:tc>
          <w:tcPr>
            <w:tcW w:w="1910"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采光照明符合要求</w:t>
            </w:r>
          </w:p>
        </w:tc>
        <w:tc>
          <w:tcPr>
            <w:tcW w:w="920"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3673"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管道上应漆有表示介质流动方向的箭头</w:t>
            </w:r>
          </w:p>
        </w:tc>
        <w:tc>
          <w:tcPr>
            <w:tcW w:w="2374"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《安全标志及其使用导则》</w:t>
            </w:r>
          </w:p>
        </w:tc>
        <w:tc>
          <w:tcPr>
            <w:tcW w:w="1910"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管道标有介质流向标识</w:t>
            </w:r>
          </w:p>
        </w:tc>
        <w:tc>
          <w:tcPr>
            <w:tcW w:w="920"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autoSpaceDE w:val="0"/>
              <w:autoSpaceDN w:val="0"/>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3673" w:type="dxa"/>
            <w:vAlign w:val="center"/>
          </w:tcPr>
          <w:p>
            <w:pPr>
              <w:autoSpaceDE w:val="0"/>
              <w:autoSpaceDN w:val="0"/>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厂房内的设备和管道必须采取有效的密封措施，防止物料跑、冒、滴、漏，杜绝无组织排放。</w:t>
            </w:r>
          </w:p>
        </w:tc>
        <w:tc>
          <w:tcPr>
            <w:tcW w:w="2374" w:type="dxa"/>
            <w:vAlign w:val="center"/>
          </w:tcPr>
          <w:p>
            <w:pPr>
              <w:autoSpaceDE w:val="0"/>
              <w:autoSpaceDN w:val="0"/>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w:t>
            </w:r>
            <w:r>
              <w:rPr>
                <w:rFonts w:hint="eastAsia" w:ascii="宋体" w:hAnsi="宋体" w:eastAsia="宋体" w:cs="宋体"/>
                <w:sz w:val="21"/>
                <w:szCs w:val="21"/>
              </w:rPr>
              <w:t>生产设备安全卫生设计总则</w:t>
            </w:r>
            <w:r>
              <w:rPr>
                <w:rFonts w:hint="eastAsia" w:ascii="宋体" w:hAnsi="宋体" w:eastAsia="宋体" w:cs="宋体"/>
                <w:kern w:val="0"/>
                <w:sz w:val="21"/>
                <w:szCs w:val="21"/>
              </w:rPr>
              <w:t>》</w:t>
            </w:r>
          </w:p>
        </w:tc>
        <w:tc>
          <w:tcPr>
            <w:tcW w:w="1910" w:type="dxa"/>
            <w:vAlign w:val="center"/>
          </w:tcPr>
          <w:p>
            <w:pPr>
              <w:autoSpaceDE w:val="0"/>
              <w:autoSpaceDN w:val="0"/>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管道密封措施良好，现场未见跑冒滴漏情况</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8</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人员易触及的可动零部件，应尽可能封闭或隔离。</w:t>
            </w:r>
          </w:p>
        </w:tc>
        <w:tc>
          <w:tcPr>
            <w:tcW w:w="2374"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kern w:val="0"/>
                <w:sz w:val="21"/>
                <w:szCs w:val="21"/>
              </w:rPr>
              <w:t>《</w:t>
            </w:r>
            <w:r>
              <w:rPr>
                <w:rFonts w:hint="eastAsia" w:ascii="宋体" w:hAnsi="宋体" w:eastAsia="宋体" w:cs="宋体"/>
                <w:sz w:val="21"/>
                <w:szCs w:val="21"/>
              </w:rPr>
              <w:t>生产设备安全卫生设计总则</w:t>
            </w:r>
            <w:r>
              <w:rPr>
                <w:rFonts w:hint="eastAsia" w:ascii="宋体" w:hAnsi="宋体" w:eastAsia="宋体" w:cs="宋体"/>
                <w:kern w:val="0"/>
                <w:sz w:val="21"/>
                <w:szCs w:val="21"/>
              </w:rPr>
              <w:t>》</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循环泵，风机等设有防护罩</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9</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若生产设备的灼热或过冷部位可能造成危险，则必须配置防接触屏蔽。</w:t>
            </w:r>
          </w:p>
        </w:tc>
        <w:tc>
          <w:tcPr>
            <w:tcW w:w="2374"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kern w:val="0"/>
                <w:sz w:val="21"/>
                <w:szCs w:val="21"/>
              </w:rPr>
              <w:t>《</w:t>
            </w:r>
            <w:r>
              <w:rPr>
                <w:rFonts w:hint="eastAsia" w:ascii="宋体" w:hAnsi="宋体" w:eastAsia="宋体" w:cs="宋体"/>
                <w:sz w:val="21"/>
                <w:szCs w:val="21"/>
              </w:rPr>
              <w:t>生产设备安全卫生设计总则</w:t>
            </w:r>
            <w:r>
              <w:rPr>
                <w:rFonts w:hint="eastAsia" w:ascii="宋体" w:hAnsi="宋体" w:eastAsia="宋体" w:cs="宋体"/>
                <w:kern w:val="0"/>
                <w:sz w:val="21"/>
                <w:szCs w:val="21"/>
              </w:rPr>
              <w:t>》</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储罐和换热器设保温隔热夹套</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10</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在使用过程中有可能遭受雷击的生产设备，必须采取适当的防护措施，以使雷击时产生的电荷被安全、迅速导入大地。</w:t>
            </w:r>
          </w:p>
        </w:tc>
        <w:tc>
          <w:tcPr>
            <w:tcW w:w="2374"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kern w:val="0"/>
                <w:sz w:val="21"/>
                <w:szCs w:val="21"/>
              </w:rPr>
              <w:t>《</w:t>
            </w:r>
            <w:r>
              <w:rPr>
                <w:rFonts w:hint="eastAsia" w:ascii="宋体" w:hAnsi="宋体" w:eastAsia="宋体" w:cs="宋体"/>
                <w:sz w:val="21"/>
                <w:szCs w:val="21"/>
              </w:rPr>
              <w:t>生产设备安全卫生设计总则</w:t>
            </w:r>
            <w:r>
              <w:rPr>
                <w:rFonts w:hint="eastAsia" w:ascii="宋体" w:hAnsi="宋体" w:eastAsia="宋体" w:cs="宋体"/>
                <w:kern w:val="0"/>
                <w:sz w:val="21"/>
                <w:szCs w:val="21"/>
              </w:rPr>
              <w:t>》</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氨回收装置区设有避雷针和接地装置</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11</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贮存酸、碱及高危液体物质贮罐区周围应设置泄险沟(堰)。</w:t>
            </w:r>
          </w:p>
        </w:tc>
        <w:tc>
          <w:tcPr>
            <w:tcW w:w="2374" w:type="dxa"/>
            <w:vAlign w:val="center"/>
          </w:tcPr>
          <w:p>
            <w:pPr>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w:t>
            </w:r>
            <w:r>
              <w:rPr>
                <w:rFonts w:hint="eastAsia" w:ascii="宋体" w:hAnsi="宋体" w:eastAsia="宋体" w:cs="宋体"/>
              </w:rPr>
              <w:fldChar w:fldCharType="begin"/>
            </w:r>
            <w:r>
              <w:rPr>
                <w:rFonts w:hint="eastAsia" w:ascii="宋体" w:hAnsi="宋体" w:eastAsia="宋体" w:cs="宋体"/>
              </w:rPr>
              <w:instrText xml:space="preserve"> HYPERLINK "http://www.jianbiaoku.com/webarbs/book/90/2331513.shtml" \t "http://www.jianbiaoku.com/webarbs/book/90/_self" </w:instrText>
            </w:r>
            <w:r>
              <w:rPr>
                <w:rFonts w:hint="eastAsia" w:ascii="宋体" w:hAnsi="宋体" w:eastAsia="宋体" w:cs="宋体"/>
              </w:rPr>
              <w:fldChar w:fldCharType="separate"/>
            </w:r>
            <w:r>
              <w:rPr>
                <w:rFonts w:hint="eastAsia" w:ascii="宋体" w:hAnsi="宋体" w:eastAsia="宋体" w:cs="宋体"/>
                <w:kern w:val="0"/>
                <w:sz w:val="21"/>
                <w:szCs w:val="21"/>
              </w:rPr>
              <w:t>工业企业设计卫生标准</w:t>
            </w:r>
            <w:r>
              <w:rPr>
                <w:rFonts w:hint="eastAsia" w:ascii="宋体" w:hAnsi="宋体" w:eastAsia="宋体" w:cs="宋体"/>
                <w:kern w:val="0"/>
                <w:sz w:val="21"/>
                <w:szCs w:val="21"/>
              </w:rPr>
              <w:fldChar w:fldCharType="end"/>
            </w:r>
            <w:r>
              <w:rPr>
                <w:rFonts w:hint="eastAsia" w:ascii="宋体" w:hAnsi="宋体" w:eastAsia="宋体" w:cs="宋体"/>
                <w:kern w:val="0"/>
                <w:sz w:val="21"/>
                <w:szCs w:val="21"/>
              </w:rPr>
              <w:t>》GBZ1-2010第6.1.3款</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氨水罐区设有围堰和应急排放管道</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12</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在放散有爆炸危险的可燃气体、粉尘或气溶胶等物质的工作场所，应设置防爆通风系统或事故排风系统</w:t>
            </w:r>
          </w:p>
        </w:tc>
        <w:tc>
          <w:tcPr>
            <w:tcW w:w="2374" w:type="dxa"/>
            <w:vAlign w:val="center"/>
          </w:tcPr>
          <w:p>
            <w:pPr>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w:t>
            </w:r>
            <w:r>
              <w:rPr>
                <w:rFonts w:hint="eastAsia" w:ascii="宋体" w:hAnsi="宋体" w:eastAsia="宋体" w:cs="宋体"/>
              </w:rPr>
              <w:fldChar w:fldCharType="begin"/>
            </w:r>
            <w:r>
              <w:rPr>
                <w:rFonts w:hint="eastAsia" w:ascii="宋体" w:hAnsi="宋体" w:eastAsia="宋体" w:cs="宋体"/>
              </w:rPr>
              <w:instrText xml:space="preserve"> HYPERLINK "http://www.jianbiaoku.com/webarbs/book/90/2331513.shtml" \t "http://www.jianbiaoku.com/webarbs/book/90/_self" </w:instrText>
            </w:r>
            <w:r>
              <w:rPr>
                <w:rFonts w:hint="eastAsia" w:ascii="宋体" w:hAnsi="宋体" w:eastAsia="宋体" w:cs="宋体"/>
              </w:rPr>
              <w:fldChar w:fldCharType="separate"/>
            </w:r>
            <w:r>
              <w:rPr>
                <w:rFonts w:hint="eastAsia" w:ascii="宋体" w:hAnsi="宋体" w:eastAsia="宋体" w:cs="宋体"/>
                <w:kern w:val="0"/>
                <w:sz w:val="21"/>
                <w:szCs w:val="21"/>
              </w:rPr>
              <w:t>工业企业设计卫生标准</w:t>
            </w:r>
            <w:r>
              <w:rPr>
                <w:rFonts w:hint="eastAsia" w:ascii="宋体" w:hAnsi="宋体" w:eastAsia="宋体" w:cs="宋体"/>
                <w:kern w:val="0"/>
                <w:sz w:val="21"/>
                <w:szCs w:val="21"/>
              </w:rPr>
              <w:fldChar w:fldCharType="end"/>
            </w:r>
            <w:r>
              <w:rPr>
                <w:rFonts w:hint="eastAsia" w:ascii="宋体" w:hAnsi="宋体" w:eastAsia="宋体" w:cs="宋体"/>
                <w:kern w:val="0"/>
                <w:sz w:val="21"/>
                <w:szCs w:val="21"/>
              </w:rPr>
              <w:t>》GBZ1-2010第6.1.5.3款</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氨气吸收站上方设有防爆型排风机</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527" w:type="dxa"/>
            <w:vAlign w:val="center"/>
          </w:tcPr>
          <w:p>
            <w:pPr>
              <w:spacing w:line="280" w:lineRule="exact"/>
              <w:jc w:val="center"/>
              <w:rPr>
                <w:rFonts w:hint="eastAsia" w:ascii="宋体" w:hAnsi="宋体" w:eastAsia="宋体" w:cs="宋体"/>
                <w:bCs/>
                <w:sz w:val="21"/>
                <w:szCs w:val="21"/>
              </w:rPr>
            </w:pPr>
            <w:r>
              <w:rPr>
                <w:rFonts w:hint="eastAsia" w:ascii="宋体" w:hAnsi="宋体" w:eastAsia="宋体" w:cs="宋体"/>
                <w:bCs/>
                <w:sz w:val="21"/>
                <w:szCs w:val="21"/>
              </w:rPr>
              <w:t>13</w:t>
            </w:r>
          </w:p>
        </w:tc>
        <w:tc>
          <w:tcPr>
            <w:tcW w:w="3673"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有可能发生化学性灼伤及经皮肤粘膜吸收引起急性中毒的工作地点或车间，应根据可能产生或存在的职业性有害因素及其危害特点，在工作地点就近设置现场应急处理设施。急救设施应包括：不断水的冲淋、洗眼设施；气体防护柜；个人防护用品；急救包或急救箱以及急救药品；转运病人的担架和装置；急救处理的设施以及应急救援通讯设备等</w:t>
            </w:r>
          </w:p>
        </w:tc>
        <w:tc>
          <w:tcPr>
            <w:tcW w:w="2374" w:type="dxa"/>
            <w:vAlign w:val="center"/>
          </w:tcPr>
          <w:p>
            <w:pPr>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w:t>
            </w:r>
            <w:r>
              <w:rPr>
                <w:rFonts w:hint="eastAsia" w:ascii="宋体" w:hAnsi="宋体" w:eastAsia="宋体" w:cs="宋体"/>
              </w:rPr>
              <w:fldChar w:fldCharType="begin"/>
            </w:r>
            <w:r>
              <w:rPr>
                <w:rFonts w:hint="eastAsia" w:ascii="宋体" w:hAnsi="宋体" w:eastAsia="宋体" w:cs="宋体"/>
              </w:rPr>
              <w:instrText xml:space="preserve"> HYPERLINK "http://www.jianbiaoku.com/webarbs/book/90/2331513.shtml" \t "http://www.jianbiaoku.com/webarbs/book/90/_self" </w:instrText>
            </w:r>
            <w:r>
              <w:rPr>
                <w:rFonts w:hint="eastAsia" w:ascii="宋体" w:hAnsi="宋体" w:eastAsia="宋体" w:cs="宋体"/>
              </w:rPr>
              <w:fldChar w:fldCharType="separate"/>
            </w:r>
            <w:r>
              <w:rPr>
                <w:rFonts w:hint="eastAsia" w:ascii="宋体" w:hAnsi="宋体" w:eastAsia="宋体" w:cs="宋体"/>
                <w:kern w:val="0"/>
                <w:sz w:val="21"/>
                <w:szCs w:val="21"/>
              </w:rPr>
              <w:t>工业企业设计卫生标准</w:t>
            </w:r>
            <w:r>
              <w:rPr>
                <w:rFonts w:hint="eastAsia" w:ascii="宋体" w:hAnsi="宋体" w:eastAsia="宋体" w:cs="宋体"/>
                <w:kern w:val="0"/>
                <w:sz w:val="21"/>
                <w:szCs w:val="21"/>
              </w:rPr>
              <w:fldChar w:fldCharType="end"/>
            </w:r>
            <w:r>
              <w:rPr>
                <w:rFonts w:hint="eastAsia" w:ascii="宋体" w:hAnsi="宋体" w:eastAsia="宋体" w:cs="宋体"/>
                <w:kern w:val="0"/>
                <w:sz w:val="21"/>
                <w:szCs w:val="21"/>
              </w:rPr>
              <w:t>》GBZ1-2010第8.3款</w:t>
            </w:r>
          </w:p>
        </w:tc>
        <w:tc>
          <w:tcPr>
            <w:tcW w:w="1910" w:type="dxa"/>
            <w:vAlign w:val="center"/>
          </w:tcPr>
          <w:p>
            <w:pPr>
              <w:spacing w:line="280" w:lineRule="exact"/>
              <w:jc w:val="left"/>
              <w:rPr>
                <w:rFonts w:hint="eastAsia" w:ascii="宋体" w:hAnsi="宋体" w:eastAsia="宋体" w:cs="宋体"/>
                <w:sz w:val="21"/>
                <w:szCs w:val="21"/>
              </w:rPr>
            </w:pPr>
            <w:r>
              <w:rPr>
                <w:rFonts w:hint="eastAsia" w:ascii="宋体" w:hAnsi="宋体" w:eastAsia="宋体" w:cs="宋体"/>
                <w:sz w:val="21"/>
                <w:szCs w:val="21"/>
              </w:rPr>
              <w:t>罐区和氨吸收站就近设有喷淋洗眼器</w:t>
            </w:r>
          </w:p>
        </w:tc>
        <w:tc>
          <w:tcPr>
            <w:tcW w:w="920" w:type="dxa"/>
            <w:vAlign w:val="center"/>
          </w:tcPr>
          <w:p>
            <w:pPr>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bl>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检查结果表明，该项目常规防护设施符合要求。</w:t>
      </w:r>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28"/>
          <w:szCs w:val="28"/>
        </w:rPr>
      </w:pPr>
      <w:bookmarkStart w:id="554" w:name="_Toc350506801"/>
      <w:bookmarkStart w:id="555" w:name="_Toc17236"/>
      <w:bookmarkStart w:id="556" w:name="_Toc13741"/>
      <w:bookmarkStart w:id="557" w:name="_Toc18881"/>
      <w:bookmarkStart w:id="558" w:name="_Toc11900"/>
      <w:bookmarkStart w:id="559" w:name="_Toc486427816"/>
      <w:bookmarkStart w:id="560" w:name="_Toc12458"/>
      <w:r>
        <w:rPr>
          <w:rFonts w:hint="eastAsia" w:ascii="宋体" w:hAnsi="宋体" w:eastAsia="宋体" w:cs="宋体"/>
          <w:sz w:val="28"/>
          <w:szCs w:val="28"/>
        </w:rPr>
        <w:t>7.3工艺、设备设施安全</w:t>
      </w:r>
      <w:bookmarkEnd w:id="554"/>
      <w:r>
        <w:rPr>
          <w:rFonts w:hint="eastAsia" w:ascii="宋体" w:hAnsi="宋体" w:eastAsia="宋体" w:cs="宋体"/>
          <w:sz w:val="28"/>
          <w:szCs w:val="28"/>
        </w:rPr>
        <w:t>评价</w:t>
      </w:r>
      <w:bookmarkEnd w:id="555"/>
      <w:bookmarkEnd w:id="556"/>
      <w:bookmarkEnd w:id="557"/>
      <w:bookmarkEnd w:id="558"/>
      <w:bookmarkEnd w:id="559"/>
      <w:bookmarkEnd w:id="560"/>
    </w:p>
    <w:p>
      <w:pPr>
        <w:pageBreakBefore w:val="0"/>
        <w:kinsoku/>
        <w:wordWrap/>
        <w:overflowPunct/>
        <w:topLinePunct w:val="0"/>
        <w:autoSpaceDE/>
        <w:autoSpaceDN/>
        <w:bidi w:val="0"/>
        <w:spacing w:line="600" w:lineRule="exact"/>
        <w:jc w:val="center"/>
        <w:textAlignment w:val="auto"/>
        <w:rPr>
          <w:rFonts w:hint="eastAsia" w:ascii="宋体" w:hAnsi="宋体" w:eastAsia="宋体" w:cs="宋体"/>
          <w:b/>
          <w:bCs/>
          <w:szCs w:val="28"/>
        </w:rPr>
      </w:pPr>
      <w:r>
        <w:rPr>
          <w:rFonts w:hint="eastAsia" w:ascii="宋体" w:hAnsi="宋体" w:eastAsia="宋体" w:cs="宋体"/>
          <w:b/>
          <w:bCs/>
          <w:szCs w:val="28"/>
        </w:rPr>
        <w:t>表7.3-1 生产设施与设备安全检查表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3532"/>
        <w:gridCol w:w="2516"/>
        <w:gridCol w:w="1713"/>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532" w:type="dxa"/>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2516" w:type="dxa"/>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检查依据</w:t>
            </w:r>
          </w:p>
        </w:tc>
        <w:tc>
          <w:tcPr>
            <w:tcW w:w="1713" w:type="dxa"/>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检查结果</w:t>
            </w:r>
          </w:p>
        </w:tc>
        <w:tc>
          <w:tcPr>
            <w:tcW w:w="849" w:type="dxa"/>
            <w:vAlign w:val="center"/>
          </w:tcPr>
          <w:p>
            <w:pPr>
              <w:adjustRightInd w:val="0"/>
              <w:snapToGrid w:val="0"/>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3532"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不使用有国家明令淘汰的设备、设</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施。</w:t>
            </w:r>
          </w:p>
        </w:tc>
        <w:tc>
          <w:tcPr>
            <w:tcW w:w="2516" w:type="dxa"/>
            <w:vAlign w:val="center"/>
          </w:tcPr>
          <w:p>
            <w:pPr>
              <w:adjustRightInd w:val="0"/>
              <w:snapToGrid w:val="0"/>
              <w:spacing w:line="280" w:lineRule="exact"/>
              <w:jc w:val="left"/>
              <w:rPr>
                <w:rFonts w:hint="eastAsia" w:ascii="宋体" w:hAnsi="宋体" w:eastAsia="宋体" w:cs="宋体"/>
                <w:sz w:val="21"/>
                <w:szCs w:val="21"/>
              </w:rPr>
            </w:pPr>
            <w:r>
              <w:rPr>
                <w:rFonts w:hint="eastAsia" w:ascii="宋体" w:hAnsi="宋体" w:eastAsia="宋体" w:cs="宋体"/>
                <w:sz w:val="21"/>
                <w:szCs w:val="21"/>
              </w:rPr>
              <w:t>《安全生产法》</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rPr>
              <w:fldChar w:fldCharType="begin"/>
            </w:r>
            <w:r>
              <w:rPr>
                <w:rFonts w:hint="eastAsia" w:ascii="宋体" w:hAnsi="宋体" w:eastAsia="宋体" w:cs="宋体"/>
              </w:rPr>
              <w:instrText xml:space="preserve"> HYPERLINK "http://www.gov.cn/gzdt/att/att/site1/20110426/001e3741a2cc0f20bacd01.pdf" \t "_blank" \o "http://www.gov.cn/gzdt/att/att/site1/20110426/001e3741a2cc0f20bacd01.pdf" </w:instrText>
            </w:r>
            <w:r>
              <w:rPr>
                <w:rFonts w:hint="eastAsia" w:ascii="宋体" w:hAnsi="宋体" w:eastAsia="宋体" w:cs="宋体"/>
              </w:rPr>
              <w:fldChar w:fldCharType="separate"/>
            </w:r>
            <w:r>
              <w:rPr>
                <w:rFonts w:hint="eastAsia" w:ascii="宋体" w:hAnsi="宋体" w:eastAsia="宋体" w:cs="宋体"/>
                <w:sz w:val="21"/>
                <w:szCs w:val="21"/>
              </w:rPr>
              <w:t>产业结构调整指导目录（2019年本）</w:t>
            </w:r>
            <w:r>
              <w:rPr>
                <w:rFonts w:hint="eastAsia" w:ascii="宋体" w:hAnsi="宋体" w:eastAsia="宋体" w:cs="宋体"/>
                <w:sz w:val="21"/>
                <w:szCs w:val="21"/>
              </w:rPr>
              <w:fldChar w:fldCharType="end"/>
            </w:r>
            <w:r>
              <w:rPr>
                <w:rFonts w:hint="eastAsia" w:ascii="宋体" w:hAnsi="宋体" w:eastAsia="宋体" w:cs="宋体"/>
                <w:sz w:val="21"/>
                <w:szCs w:val="21"/>
              </w:rPr>
              <w:t>》2021年修订</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未使用明令淘汰设备、设施</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生产设备及其零部件，必须有足够的</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强度、刚度、稳定性和可靠性。</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《生产设备安全卫生设计总则》第 4.1款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设备零部件、支撑结构稳定可靠</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在规定使用期限内、生产、贮存设备及管道必须满足使用环境要求，特别是满足防腐、耐磨损、疲劳、抗老化</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和抵御失效的要求。</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《生产设备安全卫生设计总则》第 5.1款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设备材质选型满足要求</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禁止使用能与工作介质反应而造成</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危害的材料。</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《生产设备安全卫生设计总则》第5.2.5款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未选用与介质反应的危害材质</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生产设备不应在振动、风载或其他可预见的外载作用下倾覆或产生允许</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范围外的活动。</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《生产设备安全卫生设计总则》第5.3.1款</w:t>
            </w:r>
          </w:p>
        </w:tc>
        <w:tc>
          <w:tcPr>
            <w:tcW w:w="1713"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抗震、抗风效果良好</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在不影响使用功能的情况下，生产设备可被人接触到的部分及其零部件应设计成不带易伤人的锐角、利棱、</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凹凸不平的表面和较突出部位。</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《生产设备安全卫生设计总则》第 5.4款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无锐角、利棱、凹凸不平的表面和</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较突出部位</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厂房内的设备和管道必须采取有效的密封措施,防止物料发生跑、冒、</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滴、漏，杜绝无组织排放。</w:t>
            </w:r>
          </w:p>
        </w:tc>
        <w:tc>
          <w:tcPr>
            <w:tcW w:w="2516"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《工业企业设计卫生标准》第5.1.22</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设备和管道密封较好</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8</w:t>
            </w:r>
          </w:p>
        </w:tc>
        <w:tc>
          <w:tcPr>
            <w:tcW w:w="3532"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爆炸和火灾危险场所使用的电气设备必须符合相应的防爆等级，仪器、仪表必须具有与之配套使用的电气</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设备相适应的防爆等级。</w:t>
            </w:r>
          </w:p>
        </w:tc>
        <w:tc>
          <w:tcPr>
            <w:tcW w:w="2516"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《生产设备安全卫生设计总则》第5.4.2款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回收系统的电气选用防爆型</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28"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9</w:t>
            </w:r>
          </w:p>
        </w:tc>
        <w:tc>
          <w:tcPr>
            <w:tcW w:w="3532" w:type="dxa"/>
            <w:vAlign w:val="center"/>
          </w:tcPr>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生产设备必须保证操作点和操作区域有足够的照明，但要避免各种频闪</w:t>
            </w:r>
          </w:p>
          <w:p>
            <w:pPr>
              <w:adjustRightInd w:val="0"/>
              <w:snapToGrid w:val="0"/>
              <w:spacing w:line="280" w:lineRule="exact"/>
              <w:rPr>
                <w:rFonts w:hint="eastAsia" w:ascii="宋体" w:hAnsi="宋体" w:eastAsia="宋体" w:cs="宋体"/>
                <w:sz w:val="21"/>
                <w:szCs w:val="21"/>
              </w:rPr>
            </w:pPr>
            <w:r>
              <w:rPr>
                <w:rFonts w:hint="eastAsia" w:ascii="宋体" w:hAnsi="宋体" w:eastAsia="宋体" w:cs="宋体"/>
                <w:sz w:val="21"/>
                <w:szCs w:val="21"/>
              </w:rPr>
              <w:t>效应和眩光现象。</w:t>
            </w:r>
          </w:p>
        </w:tc>
        <w:tc>
          <w:tcPr>
            <w:tcW w:w="2516"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《生产设备安全卫生设计总则》第5.8.1款</w:t>
            </w:r>
          </w:p>
        </w:tc>
        <w:tc>
          <w:tcPr>
            <w:tcW w:w="1713"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采光照明符合要求，无眩光现象</w:t>
            </w:r>
          </w:p>
        </w:tc>
        <w:tc>
          <w:tcPr>
            <w:tcW w:w="849" w:type="dxa"/>
            <w:vAlign w:val="center"/>
          </w:tcPr>
          <w:p>
            <w:pPr>
              <w:adjustRightInd w:val="0"/>
              <w:snapToGri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bl>
    <w:p>
      <w:pPr>
        <w:spacing w:line="600" w:lineRule="exact"/>
        <w:ind w:firstLine="548" w:firstLineChars="196"/>
        <w:rPr>
          <w:rFonts w:hint="eastAsia" w:ascii="宋体" w:hAnsi="宋体" w:eastAsia="宋体" w:cs="宋体"/>
          <w:szCs w:val="28"/>
        </w:rPr>
      </w:pPr>
      <w:r>
        <w:rPr>
          <w:rFonts w:hint="eastAsia" w:ascii="宋体" w:hAnsi="宋体" w:eastAsia="宋体" w:cs="宋体"/>
          <w:szCs w:val="28"/>
        </w:rPr>
        <w:t>检查表明，该项目的工艺、设备设施安全符合要求。</w:t>
      </w:r>
    </w:p>
    <w:p>
      <w:pPr>
        <w:pStyle w:val="4"/>
        <w:pageBreakBefore w:val="0"/>
        <w:kinsoku/>
        <w:wordWrap/>
        <w:overflowPunct/>
        <w:topLinePunct w:val="0"/>
        <w:autoSpaceDE/>
        <w:autoSpaceDN/>
        <w:bidi w:val="0"/>
        <w:spacing w:line="600" w:lineRule="exact"/>
        <w:textAlignment w:val="auto"/>
        <w:rPr>
          <w:rFonts w:hint="eastAsia" w:ascii="宋体" w:hAnsi="宋体" w:eastAsia="宋体" w:cs="宋体"/>
          <w:sz w:val="30"/>
          <w:szCs w:val="30"/>
        </w:rPr>
      </w:pPr>
      <w:bookmarkStart w:id="561" w:name="_Toc20358"/>
      <w:bookmarkStart w:id="562" w:name="_Toc17668"/>
      <w:bookmarkStart w:id="563" w:name="_Toc25314"/>
      <w:bookmarkStart w:id="564" w:name="_Toc486427820"/>
      <w:bookmarkStart w:id="565" w:name="_Toc25334"/>
      <w:bookmarkStart w:id="566" w:name="_Toc15495"/>
      <w:r>
        <w:rPr>
          <w:rFonts w:hint="eastAsia" w:ascii="宋体" w:hAnsi="宋体" w:eastAsia="宋体" w:cs="宋体"/>
          <w:sz w:val="30"/>
          <w:szCs w:val="30"/>
        </w:rPr>
        <w:t>7.4防火间距、耐火等级、面积评价</w:t>
      </w:r>
      <w:bookmarkEnd w:id="561"/>
    </w:p>
    <w:p>
      <w:pPr>
        <w:pageBreakBefore w:val="0"/>
        <w:kinsoku/>
        <w:wordWrap/>
        <w:overflowPunct/>
        <w:topLinePunct w:val="0"/>
        <w:autoSpaceDE/>
        <w:autoSpaceDN/>
        <w:bidi w:val="0"/>
        <w:spacing w:line="600" w:lineRule="exact"/>
        <w:textAlignment w:val="auto"/>
        <w:rPr>
          <w:rFonts w:hint="eastAsia" w:ascii="宋体" w:hAnsi="宋体" w:eastAsia="宋体" w:cs="宋体"/>
        </w:rPr>
      </w:pPr>
      <w:r>
        <w:rPr>
          <w:rFonts w:hint="eastAsia" w:ascii="宋体" w:hAnsi="宋体" w:eastAsia="宋体" w:cs="宋体"/>
        </w:rPr>
        <w:t>1、防火间距</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rPr>
      </w:pPr>
      <w:r>
        <w:rPr>
          <w:rFonts w:hint="eastAsia" w:ascii="宋体" w:hAnsi="宋体" w:eastAsia="宋体" w:cs="宋体"/>
        </w:rPr>
        <w:t>表7.4-1 建（构）筑物安全间距一览表</w:t>
      </w:r>
    </w:p>
    <w:tbl>
      <w:tblPr>
        <w:tblStyle w:val="74"/>
        <w:tblW w:w="932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4"/>
        <w:gridCol w:w="867"/>
        <w:gridCol w:w="444"/>
        <w:gridCol w:w="2267"/>
        <w:gridCol w:w="680"/>
        <w:gridCol w:w="680"/>
        <w:gridCol w:w="681"/>
        <w:gridCol w:w="680"/>
        <w:gridCol w:w="681"/>
        <w:gridCol w:w="17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644"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项目 编号</w:t>
            </w:r>
          </w:p>
        </w:tc>
        <w:tc>
          <w:tcPr>
            <w:tcW w:w="867" w:type="dxa"/>
            <w:vAlign w:val="center"/>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名称</w:t>
            </w:r>
          </w:p>
        </w:tc>
        <w:tc>
          <w:tcPr>
            <w:tcW w:w="2711" w:type="dxa"/>
            <w:gridSpan w:val="2"/>
            <w:vAlign w:val="center"/>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相邻建 (构) 筑物</w:t>
            </w:r>
          </w:p>
        </w:tc>
        <w:tc>
          <w:tcPr>
            <w:tcW w:w="680"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火灾 类别</w:t>
            </w:r>
          </w:p>
        </w:tc>
        <w:tc>
          <w:tcPr>
            <w:tcW w:w="680"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耐火 等级</w:t>
            </w:r>
          </w:p>
        </w:tc>
        <w:tc>
          <w:tcPr>
            <w:tcW w:w="681"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实际 距离</w:t>
            </w:r>
          </w:p>
        </w:tc>
        <w:tc>
          <w:tcPr>
            <w:tcW w:w="680"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规范 距离</w:t>
            </w:r>
          </w:p>
        </w:tc>
        <w:tc>
          <w:tcPr>
            <w:tcW w:w="681"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检查 结论</w:t>
            </w:r>
          </w:p>
        </w:tc>
        <w:tc>
          <w:tcPr>
            <w:tcW w:w="1700"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《建筑设计防火 规范》条款号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644"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一</w:t>
            </w:r>
          </w:p>
        </w:tc>
        <w:tc>
          <w:tcPr>
            <w:tcW w:w="867"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地块一</w:t>
            </w:r>
          </w:p>
        </w:tc>
        <w:tc>
          <w:tcPr>
            <w:tcW w:w="444"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2267"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0"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0"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1"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0"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1"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1700"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644" w:type="dxa"/>
            <w:vMerge w:val="restart"/>
            <w:tcBorders>
              <w:bottom w:val="nil"/>
            </w:tcBorders>
          </w:tcPr>
          <w:p>
            <w:pPr>
              <w:widowControl/>
              <w:kinsoku w:val="0"/>
              <w:autoSpaceDE w:val="0"/>
              <w:autoSpaceDN w:val="0"/>
              <w:adjustRightInd w:val="0"/>
              <w:snapToGrid w:val="0"/>
              <w:spacing w:line="280"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80"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81"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81"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81"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before="55" w:line="193" w:lineRule="auto"/>
              <w:ind w:left="204"/>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2"/>
                <w:kern w:val="0"/>
                <w:sz w:val="21"/>
                <w:szCs w:val="21"/>
              </w:rPr>
              <w:t>104</w:t>
            </w:r>
          </w:p>
        </w:tc>
        <w:tc>
          <w:tcPr>
            <w:tcW w:w="867" w:type="dxa"/>
            <w:vMerge w:val="restart"/>
            <w:tcBorders>
              <w:bottom w:val="nil"/>
            </w:tcBorders>
          </w:tcPr>
          <w:p>
            <w:pPr>
              <w:widowControl/>
              <w:kinsoku w:val="0"/>
              <w:autoSpaceDE w:val="0"/>
              <w:autoSpaceDN w:val="0"/>
              <w:adjustRightInd w:val="0"/>
              <w:snapToGrid w:val="0"/>
              <w:spacing w:line="266"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66"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line="266" w:lineRule="auto"/>
              <w:jc w:val="left"/>
              <w:textAlignment w:val="baseline"/>
              <w:rPr>
                <w:rFonts w:hint="eastAsia" w:ascii="宋体" w:hAnsi="宋体" w:eastAsia="宋体" w:cs="宋体"/>
                <w:snapToGrid w:val="0"/>
                <w:kern w:val="0"/>
                <w:sz w:val="21"/>
                <w:szCs w:val="21"/>
              </w:rPr>
            </w:pPr>
          </w:p>
          <w:p>
            <w:pPr>
              <w:widowControl/>
              <w:tabs>
                <w:tab w:val="left" w:pos="261"/>
              </w:tabs>
              <w:kinsoku w:val="0"/>
              <w:autoSpaceDE w:val="0"/>
              <w:autoSpaceDN w:val="0"/>
              <w:adjustRightInd w:val="0"/>
              <w:snapToGrid w:val="0"/>
              <w:spacing w:before="55" w:line="253" w:lineRule="auto"/>
              <w:ind w:left="120" w:right="54" w:firstLine="48"/>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7"/>
                <w:kern w:val="0"/>
                <w:sz w:val="21"/>
                <w:szCs w:val="21"/>
              </w:rPr>
              <w:t>芯</w:t>
            </w:r>
            <w:r>
              <w:rPr>
                <w:rFonts w:hint="eastAsia" w:ascii="宋体" w:hAnsi="宋体" w:eastAsia="宋体" w:cs="宋体"/>
                <w:snapToGrid w:val="0"/>
                <w:spacing w:val="6"/>
                <w:kern w:val="0"/>
                <w:sz w:val="21"/>
                <w:szCs w:val="21"/>
              </w:rPr>
              <w:t>片外</w:t>
            </w:r>
            <w:r>
              <w:rPr>
                <w:rFonts w:hint="eastAsia" w:ascii="宋体" w:hAnsi="宋体" w:eastAsia="宋体" w:cs="宋体"/>
                <w:snapToGrid w:val="0"/>
                <w:kern w:val="0"/>
                <w:sz w:val="21"/>
                <w:szCs w:val="21"/>
              </w:rPr>
              <w:t xml:space="preserve"> </w:t>
            </w:r>
            <w:r>
              <w:rPr>
                <w:rFonts w:hint="eastAsia" w:ascii="宋体" w:hAnsi="宋体" w:eastAsia="宋体" w:cs="宋体"/>
                <w:snapToGrid w:val="0"/>
                <w:spacing w:val="24"/>
                <w:kern w:val="0"/>
                <w:sz w:val="21"/>
                <w:szCs w:val="21"/>
              </w:rPr>
              <w:t>延</w:t>
            </w:r>
            <w:r>
              <w:rPr>
                <w:rFonts w:hint="eastAsia" w:ascii="宋体" w:hAnsi="宋体" w:eastAsia="宋体" w:cs="宋体"/>
                <w:snapToGrid w:val="0"/>
                <w:spacing w:val="22"/>
                <w:kern w:val="0"/>
                <w:sz w:val="21"/>
                <w:szCs w:val="21"/>
              </w:rPr>
              <w:t>厂房</w:t>
            </w:r>
            <w:r>
              <w:rPr>
                <w:rFonts w:hint="eastAsia" w:ascii="宋体" w:hAnsi="宋体" w:eastAsia="宋体" w:cs="宋体"/>
                <w:snapToGrid w:val="0"/>
                <w:kern w:val="0"/>
                <w:sz w:val="21"/>
                <w:szCs w:val="21"/>
              </w:rPr>
              <w:t xml:space="preserve"> </w:t>
            </w:r>
            <w:r>
              <w:rPr>
                <w:rFonts w:hint="eastAsia" w:ascii="宋体" w:hAnsi="宋体" w:eastAsia="宋体" w:cs="宋体"/>
                <w:snapToGrid w:val="0"/>
                <w:spacing w:val="23"/>
                <w:kern w:val="0"/>
                <w:sz w:val="21"/>
                <w:szCs w:val="21"/>
              </w:rPr>
              <w:t>(丙类、</w:t>
            </w:r>
            <w:r>
              <w:rPr>
                <w:rFonts w:hint="eastAsia" w:ascii="宋体" w:hAnsi="宋体" w:eastAsia="宋体" w:cs="宋体"/>
                <w:snapToGrid w:val="0"/>
                <w:spacing w:val="4"/>
                <w:kern w:val="0"/>
                <w:sz w:val="21"/>
                <w:szCs w:val="21"/>
              </w:rPr>
              <w:t>耐火</w:t>
            </w:r>
          </w:p>
          <w:p>
            <w:pPr>
              <w:widowControl/>
              <w:kinsoku w:val="0"/>
              <w:autoSpaceDE w:val="0"/>
              <w:autoSpaceDN w:val="0"/>
              <w:adjustRightInd w:val="0"/>
              <w:snapToGrid w:val="0"/>
              <w:spacing w:before="1" w:line="270" w:lineRule="auto"/>
              <w:ind w:left="257" w:right="162" w:hanging="90"/>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7"/>
                <w:kern w:val="0"/>
                <w:sz w:val="21"/>
                <w:szCs w:val="21"/>
              </w:rPr>
              <w:t>等级一</w:t>
            </w:r>
            <w:r>
              <w:rPr>
                <w:rFonts w:hint="eastAsia" w:ascii="宋体" w:hAnsi="宋体" w:eastAsia="宋体" w:cs="宋体"/>
                <w:snapToGrid w:val="0"/>
                <w:kern w:val="0"/>
                <w:sz w:val="21"/>
                <w:szCs w:val="21"/>
              </w:rPr>
              <w:t>级)</w:t>
            </w:r>
          </w:p>
        </w:tc>
        <w:tc>
          <w:tcPr>
            <w:tcW w:w="444" w:type="dxa"/>
            <w:vMerge w:val="restart"/>
            <w:tcBorders>
              <w:bottom w:val="nil"/>
            </w:tcBorders>
          </w:tcPr>
          <w:p>
            <w:pPr>
              <w:widowControl/>
              <w:kinsoku w:val="0"/>
              <w:autoSpaceDE w:val="0"/>
              <w:autoSpaceDN w:val="0"/>
              <w:adjustRightInd w:val="0"/>
              <w:snapToGrid w:val="0"/>
              <w:spacing w:line="355" w:lineRule="auto"/>
              <w:jc w:val="left"/>
              <w:textAlignment w:val="baseline"/>
              <w:rPr>
                <w:rFonts w:hint="eastAsia" w:ascii="宋体" w:hAnsi="宋体" w:eastAsia="宋体" w:cs="宋体"/>
                <w:snapToGrid w:val="0"/>
                <w:kern w:val="0"/>
                <w:sz w:val="21"/>
                <w:szCs w:val="21"/>
              </w:rPr>
            </w:pPr>
          </w:p>
          <w:p>
            <w:pPr>
              <w:widowControl/>
              <w:kinsoku w:val="0"/>
              <w:autoSpaceDE w:val="0"/>
              <w:autoSpaceDN w:val="0"/>
              <w:adjustRightInd w:val="0"/>
              <w:snapToGrid w:val="0"/>
              <w:spacing w:before="55" w:line="230" w:lineRule="auto"/>
              <w:ind w:left="140"/>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东</w:t>
            </w:r>
          </w:p>
        </w:tc>
        <w:tc>
          <w:tcPr>
            <w:tcW w:w="2267" w:type="dxa"/>
          </w:tcPr>
          <w:p>
            <w:pPr>
              <w:widowControl/>
              <w:kinsoku w:val="0"/>
              <w:autoSpaceDE w:val="0"/>
              <w:autoSpaceDN w:val="0"/>
              <w:adjustRightInd w:val="0"/>
              <w:snapToGrid w:val="0"/>
              <w:spacing w:before="71" w:line="230" w:lineRule="auto"/>
              <w:ind w:left="958"/>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支路</w:t>
            </w:r>
          </w:p>
        </w:tc>
        <w:tc>
          <w:tcPr>
            <w:tcW w:w="680" w:type="dxa"/>
          </w:tcPr>
          <w:p>
            <w:pPr>
              <w:widowControl/>
              <w:kinsoku w:val="0"/>
              <w:autoSpaceDE w:val="0"/>
              <w:autoSpaceDN w:val="0"/>
              <w:adjustRightInd w:val="0"/>
              <w:snapToGrid w:val="0"/>
              <w:spacing w:before="71"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0" w:type="dxa"/>
          </w:tcPr>
          <w:p>
            <w:pPr>
              <w:widowControl/>
              <w:kinsoku w:val="0"/>
              <w:autoSpaceDE w:val="0"/>
              <w:autoSpaceDN w:val="0"/>
              <w:adjustRightInd w:val="0"/>
              <w:snapToGrid w:val="0"/>
              <w:spacing w:before="71"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1" w:type="dxa"/>
          </w:tcPr>
          <w:p>
            <w:pPr>
              <w:widowControl/>
              <w:kinsoku w:val="0"/>
              <w:autoSpaceDE w:val="0"/>
              <w:autoSpaceDN w:val="0"/>
              <w:adjustRightInd w:val="0"/>
              <w:snapToGrid w:val="0"/>
              <w:spacing w:before="101" w:line="191" w:lineRule="auto"/>
              <w:ind w:left="303"/>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5</w:t>
            </w:r>
          </w:p>
        </w:tc>
        <w:tc>
          <w:tcPr>
            <w:tcW w:w="680" w:type="dxa"/>
          </w:tcPr>
          <w:p>
            <w:pPr>
              <w:widowControl/>
              <w:kinsoku w:val="0"/>
              <w:autoSpaceDE w:val="0"/>
              <w:autoSpaceDN w:val="0"/>
              <w:adjustRightInd w:val="0"/>
              <w:snapToGrid w:val="0"/>
              <w:spacing w:before="101" w:line="191" w:lineRule="auto"/>
              <w:ind w:left="30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5</w:t>
            </w:r>
          </w:p>
        </w:tc>
        <w:tc>
          <w:tcPr>
            <w:tcW w:w="681" w:type="dxa"/>
          </w:tcPr>
          <w:p>
            <w:pPr>
              <w:widowControl/>
              <w:kinsoku w:val="0"/>
              <w:autoSpaceDE w:val="0"/>
              <w:autoSpaceDN w:val="0"/>
              <w:adjustRightInd w:val="0"/>
              <w:snapToGrid w:val="0"/>
              <w:spacing w:before="71"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99" w:line="193" w:lineRule="auto"/>
              <w:ind w:left="632"/>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4"/>
                <w:kern w:val="0"/>
                <w:sz w:val="21"/>
                <w:szCs w:val="21"/>
              </w:rPr>
              <w:t>7</w:t>
            </w:r>
            <w:r>
              <w:rPr>
                <w:rFonts w:hint="eastAsia" w:ascii="宋体" w:hAnsi="宋体" w:eastAsia="宋体" w:cs="宋体"/>
                <w:snapToGrid w:val="0"/>
                <w:spacing w:val="3"/>
                <w:kern w:val="0"/>
                <w:sz w:val="21"/>
                <w:szCs w:val="21"/>
              </w:rPr>
              <w:t>.</w:t>
            </w:r>
            <w:r>
              <w:rPr>
                <w:rFonts w:hint="eastAsia" w:ascii="宋体" w:hAnsi="宋体" w:eastAsia="宋体" w:cs="宋体"/>
                <w:snapToGrid w:val="0"/>
                <w:spacing w:val="2"/>
                <w:kern w:val="0"/>
                <w:sz w:val="21"/>
                <w:szCs w:val="21"/>
              </w:rPr>
              <w:t>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continue"/>
            <w:tcBorders>
              <w:top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2267" w:type="dxa"/>
          </w:tcPr>
          <w:p>
            <w:pPr>
              <w:widowControl/>
              <w:kinsoku w:val="0"/>
              <w:autoSpaceDE w:val="0"/>
              <w:autoSpaceDN w:val="0"/>
              <w:adjustRightInd w:val="0"/>
              <w:snapToGrid w:val="0"/>
              <w:spacing w:before="246" w:line="231" w:lineRule="auto"/>
              <w:ind w:left="973"/>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2"/>
                <w:kern w:val="0"/>
                <w:sz w:val="21"/>
                <w:szCs w:val="21"/>
              </w:rPr>
              <w:t>围墙</w:t>
            </w:r>
          </w:p>
        </w:tc>
        <w:tc>
          <w:tcPr>
            <w:tcW w:w="680" w:type="dxa"/>
          </w:tcPr>
          <w:p>
            <w:pPr>
              <w:widowControl/>
              <w:kinsoku w:val="0"/>
              <w:autoSpaceDE w:val="0"/>
              <w:autoSpaceDN w:val="0"/>
              <w:adjustRightInd w:val="0"/>
              <w:snapToGrid w:val="0"/>
              <w:spacing w:before="246"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0" w:type="dxa"/>
          </w:tcPr>
          <w:p>
            <w:pPr>
              <w:widowControl/>
              <w:kinsoku w:val="0"/>
              <w:autoSpaceDE w:val="0"/>
              <w:autoSpaceDN w:val="0"/>
              <w:adjustRightInd w:val="0"/>
              <w:snapToGrid w:val="0"/>
              <w:spacing w:before="246"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1" w:type="dxa"/>
          </w:tcPr>
          <w:p>
            <w:pPr>
              <w:widowControl/>
              <w:kinsoku w:val="0"/>
              <w:autoSpaceDE w:val="0"/>
              <w:autoSpaceDN w:val="0"/>
              <w:adjustRightInd w:val="0"/>
              <w:snapToGrid w:val="0"/>
              <w:spacing w:before="27" w:line="233" w:lineRule="exact"/>
              <w:ind w:left="164"/>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position w:val="4"/>
                <w:sz w:val="21"/>
                <w:szCs w:val="21"/>
              </w:rPr>
              <w:t>最近</w:t>
            </w:r>
          </w:p>
          <w:p>
            <w:pPr>
              <w:widowControl/>
              <w:kinsoku w:val="0"/>
              <w:autoSpaceDE w:val="0"/>
              <w:autoSpaceDN w:val="0"/>
              <w:adjustRightInd w:val="0"/>
              <w:snapToGrid w:val="0"/>
              <w:spacing w:line="204" w:lineRule="auto"/>
              <w:ind w:left="28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处</w:t>
            </w:r>
          </w:p>
          <w:p>
            <w:pPr>
              <w:widowControl/>
              <w:kinsoku w:val="0"/>
              <w:autoSpaceDE w:val="0"/>
              <w:autoSpaceDN w:val="0"/>
              <w:adjustRightInd w:val="0"/>
              <w:snapToGrid w:val="0"/>
              <w:spacing w:line="229" w:lineRule="exact"/>
              <w:ind w:left="182"/>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9"/>
                <w:kern w:val="0"/>
                <w:position w:val="1"/>
                <w:sz w:val="21"/>
                <w:szCs w:val="21"/>
              </w:rPr>
              <w:t>17</w:t>
            </w:r>
            <w:r>
              <w:rPr>
                <w:rFonts w:hint="eastAsia" w:ascii="宋体" w:hAnsi="宋体" w:eastAsia="宋体" w:cs="宋体"/>
                <w:snapToGrid w:val="0"/>
                <w:kern w:val="0"/>
                <w:position w:val="1"/>
                <w:sz w:val="21"/>
                <w:szCs w:val="21"/>
              </w:rPr>
              <w:t>m</w:t>
            </w:r>
          </w:p>
        </w:tc>
        <w:tc>
          <w:tcPr>
            <w:tcW w:w="680" w:type="dxa"/>
          </w:tcPr>
          <w:p>
            <w:pPr>
              <w:widowControl/>
              <w:kinsoku w:val="0"/>
              <w:autoSpaceDE w:val="0"/>
              <w:autoSpaceDN w:val="0"/>
              <w:adjustRightInd w:val="0"/>
              <w:snapToGrid w:val="0"/>
              <w:spacing w:before="275" w:line="191" w:lineRule="auto"/>
              <w:ind w:left="30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5</w:t>
            </w:r>
          </w:p>
        </w:tc>
        <w:tc>
          <w:tcPr>
            <w:tcW w:w="681" w:type="dxa"/>
          </w:tcPr>
          <w:p>
            <w:pPr>
              <w:widowControl/>
              <w:kinsoku w:val="0"/>
              <w:autoSpaceDE w:val="0"/>
              <w:autoSpaceDN w:val="0"/>
              <w:adjustRightInd w:val="0"/>
              <w:snapToGrid w:val="0"/>
              <w:spacing w:before="246"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273" w:line="193" w:lineRule="auto"/>
              <w:ind w:left="586"/>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3</w:t>
            </w:r>
            <w:r>
              <w:rPr>
                <w:rFonts w:hint="eastAsia" w:ascii="宋体" w:hAnsi="宋体" w:eastAsia="宋体" w:cs="宋体"/>
                <w:snapToGrid w:val="0"/>
                <w:spacing w:val="3"/>
                <w:kern w:val="0"/>
                <w:sz w:val="21"/>
                <w:szCs w:val="21"/>
              </w:rPr>
              <w:t>.4.12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restart"/>
            <w:tcBorders>
              <w:bottom w:val="nil"/>
            </w:tcBorders>
          </w:tcPr>
          <w:p>
            <w:pPr>
              <w:widowControl/>
              <w:kinsoku w:val="0"/>
              <w:autoSpaceDE w:val="0"/>
              <w:autoSpaceDN w:val="0"/>
              <w:adjustRightInd w:val="0"/>
              <w:snapToGrid w:val="0"/>
              <w:spacing w:before="237" w:line="232" w:lineRule="auto"/>
              <w:ind w:left="13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南</w:t>
            </w:r>
          </w:p>
        </w:tc>
        <w:tc>
          <w:tcPr>
            <w:tcW w:w="2267" w:type="dxa"/>
          </w:tcPr>
          <w:p>
            <w:pPr>
              <w:widowControl/>
              <w:kinsoku w:val="0"/>
              <w:autoSpaceDE w:val="0"/>
              <w:autoSpaceDN w:val="0"/>
              <w:adjustRightInd w:val="0"/>
              <w:snapToGrid w:val="0"/>
              <w:spacing w:before="86" w:line="230" w:lineRule="auto"/>
              <w:ind w:left="865"/>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8"/>
                <w:kern w:val="0"/>
                <w:sz w:val="21"/>
                <w:szCs w:val="21"/>
              </w:rPr>
              <w:t>仓库</w:t>
            </w:r>
            <w:r>
              <w:rPr>
                <w:rFonts w:hint="eastAsia" w:ascii="宋体" w:hAnsi="宋体" w:eastAsia="宋体" w:cs="宋体"/>
                <w:snapToGrid w:val="0"/>
                <w:spacing w:val="7"/>
                <w:kern w:val="0"/>
                <w:sz w:val="21"/>
                <w:szCs w:val="21"/>
              </w:rPr>
              <w:t>二</w:t>
            </w:r>
          </w:p>
        </w:tc>
        <w:tc>
          <w:tcPr>
            <w:tcW w:w="680" w:type="dxa"/>
          </w:tcPr>
          <w:p>
            <w:pPr>
              <w:widowControl/>
              <w:kinsoku w:val="0"/>
              <w:autoSpaceDE w:val="0"/>
              <w:autoSpaceDN w:val="0"/>
              <w:adjustRightInd w:val="0"/>
              <w:snapToGrid w:val="0"/>
              <w:spacing w:before="86" w:line="230" w:lineRule="auto"/>
              <w:ind w:left="18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3"/>
                <w:kern w:val="0"/>
                <w:sz w:val="21"/>
                <w:szCs w:val="21"/>
              </w:rPr>
              <w:t>乙</w:t>
            </w:r>
            <w:r>
              <w:rPr>
                <w:rFonts w:hint="eastAsia" w:ascii="宋体" w:hAnsi="宋体" w:eastAsia="宋体" w:cs="宋体"/>
                <w:snapToGrid w:val="0"/>
                <w:spacing w:val="-2"/>
                <w:kern w:val="0"/>
                <w:sz w:val="21"/>
                <w:szCs w:val="21"/>
              </w:rPr>
              <w:t>类</w:t>
            </w:r>
          </w:p>
        </w:tc>
        <w:tc>
          <w:tcPr>
            <w:tcW w:w="680" w:type="dxa"/>
          </w:tcPr>
          <w:p>
            <w:pPr>
              <w:widowControl/>
              <w:kinsoku w:val="0"/>
              <w:autoSpaceDE w:val="0"/>
              <w:autoSpaceDN w:val="0"/>
              <w:adjustRightInd w:val="0"/>
              <w:snapToGrid w:val="0"/>
              <w:spacing w:before="86" w:line="232"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二级</w:t>
            </w:r>
          </w:p>
        </w:tc>
        <w:tc>
          <w:tcPr>
            <w:tcW w:w="681" w:type="dxa"/>
          </w:tcPr>
          <w:p>
            <w:pPr>
              <w:widowControl/>
              <w:kinsoku w:val="0"/>
              <w:autoSpaceDE w:val="0"/>
              <w:autoSpaceDN w:val="0"/>
              <w:adjustRightInd w:val="0"/>
              <w:snapToGrid w:val="0"/>
              <w:spacing w:before="100" w:line="192" w:lineRule="auto"/>
              <w:ind w:left="12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3"/>
                <w:kern w:val="0"/>
                <w:sz w:val="21"/>
                <w:szCs w:val="21"/>
              </w:rPr>
              <w:t>29.75</w:t>
            </w:r>
          </w:p>
        </w:tc>
        <w:tc>
          <w:tcPr>
            <w:tcW w:w="680" w:type="dxa"/>
          </w:tcPr>
          <w:p>
            <w:pPr>
              <w:widowControl/>
              <w:kinsoku w:val="0"/>
              <w:autoSpaceDE w:val="0"/>
              <w:autoSpaceDN w:val="0"/>
              <w:adjustRightInd w:val="0"/>
              <w:snapToGrid w:val="0"/>
              <w:spacing w:before="99"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0</w:t>
            </w:r>
          </w:p>
        </w:tc>
        <w:tc>
          <w:tcPr>
            <w:tcW w:w="681" w:type="dxa"/>
          </w:tcPr>
          <w:p>
            <w:pPr>
              <w:widowControl/>
              <w:kinsoku w:val="0"/>
              <w:autoSpaceDE w:val="0"/>
              <w:autoSpaceDN w:val="0"/>
              <w:adjustRightInd w:val="0"/>
              <w:snapToGrid w:val="0"/>
              <w:spacing w:before="72"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99" w:line="193" w:lineRule="auto"/>
              <w:ind w:left="632"/>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3.4.</w:t>
            </w:r>
            <w:r>
              <w:rPr>
                <w:rFonts w:hint="eastAsia" w:ascii="宋体" w:hAnsi="宋体" w:eastAsia="宋体" w:cs="宋体"/>
                <w:snapToGrid w:val="0"/>
                <w:spacing w:val="5"/>
                <w:kern w:val="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continue"/>
            <w:tcBorders>
              <w:top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2267" w:type="dxa"/>
          </w:tcPr>
          <w:p>
            <w:pPr>
              <w:widowControl/>
              <w:kinsoku w:val="0"/>
              <w:autoSpaceDE w:val="0"/>
              <w:autoSpaceDN w:val="0"/>
              <w:adjustRightInd w:val="0"/>
              <w:snapToGrid w:val="0"/>
              <w:spacing w:before="85" w:line="228" w:lineRule="auto"/>
              <w:ind w:left="114"/>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9"/>
                <w:kern w:val="0"/>
                <w:sz w:val="21"/>
                <w:szCs w:val="21"/>
              </w:rPr>
              <w:t>露</w:t>
            </w:r>
            <w:r>
              <w:rPr>
                <w:rFonts w:hint="eastAsia" w:ascii="宋体" w:hAnsi="宋体" w:eastAsia="宋体" w:cs="宋体"/>
                <w:snapToGrid w:val="0"/>
                <w:spacing w:val="6"/>
                <w:kern w:val="0"/>
                <w:sz w:val="21"/>
                <w:szCs w:val="21"/>
              </w:rPr>
              <w:t>天设备区二 (氨水罐区)</w:t>
            </w:r>
          </w:p>
        </w:tc>
        <w:tc>
          <w:tcPr>
            <w:tcW w:w="680" w:type="dxa"/>
          </w:tcPr>
          <w:p>
            <w:pPr>
              <w:widowControl/>
              <w:kinsoku w:val="0"/>
              <w:autoSpaceDE w:val="0"/>
              <w:autoSpaceDN w:val="0"/>
              <w:adjustRightInd w:val="0"/>
              <w:snapToGrid w:val="0"/>
              <w:spacing w:before="85" w:line="230" w:lineRule="auto"/>
              <w:ind w:left="18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3"/>
                <w:kern w:val="0"/>
                <w:sz w:val="21"/>
                <w:szCs w:val="21"/>
              </w:rPr>
              <w:t>戊</w:t>
            </w:r>
            <w:r>
              <w:rPr>
                <w:rFonts w:hint="eastAsia" w:ascii="宋体" w:hAnsi="宋体" w:eastAsia="宋体" w:cs="宋体"/>
                <w:snapToGrid w:val="0"/>
                <w:spacing w:val="-2"/>
                <w:kern w:val="0"/>
                <w:sz w:val="21"/>
                <w:szCs w:val="21"/>
              </w:rPr>
              <w:t>类</w:t>
            </w:r>
          </w:p>
        </w:tc>
        <w:tc>
          <w:tcPr>
            <w:tcW w:w="680" w:type="dxa"/>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681" w:type="dxa"/>
          </w:tcPr>
          <w:p>
            <w:pPr>
              <w:widowControl/>
              <w:kinsoku w:val="0"/>
              <w:autoSpaceDE w:val="0"/>
              <w:autoSpaceDN w:val="0"/>
              <w:adjustRightInd w:val="0"/>
              <w:snapToGrid w:val="0"/>
              <w:spacing w:before="99" w:line="192" w:lineRule="auto"/>
              <w:ind w:left="12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3"/>
                <w:kern w:val="0"/>
                <w:sz w:val="21"/>
                <w:szCs w:val="21"/>
              </w:rPr>
              <w:t>29.75</w:t>
            </w:r>
          </w:p>
        </w:tc>
        <w:tc>
          <w:tcPr>
            <w:tcW w:w="680" w:type="dxa"/>
          </w:tcPr>
          <w:p>
            <w:pPr>
              <w:widowControl/>
              <w:kinsoku w:val="0"/>
              <w:autoSpaceDE w:val="0"/>
              <w:autoSpaceDN w:val="0"/>
              <w:adjustRightInd w:val="0"/>
              <w:snapToGrid w:val="0"/>
              <w:spacing w:before="98"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5</w:t>
            </w:r>
          </w:p>
        </w:tc>
        <w:tc>
          <w:tcPr>
            <w:tcW w:w="681" w:type="dxa"/>
          </w:tcPr>
          <w:p>
            <w:pPr>
              <w:widowControl/>
              <w:kinsoku w:val="0"/>
              <w:autoSpaceDE w:val="0"/>
              <w:autoSpaceDN w:val="0"/>
              <w:adjustRightInd w:val="0"/>
              <w:snapToGrid w:val="0"/>
              <w:spacing w:before="71"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99" w:line="194" w:lineRule="auto"/>
              <w:ind w:left="627"/>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7"/>
                <w:kern w:val="0"/>
                <w:sz w:val="21"/>
                <w:szCs w:val="21"/>
              </w:rPr>
              <w:t>4.2.</w:t>
            </w:r>
            <w:r>
              <w:rPr>
                <w:rFonts w:hint="eastAsia" w:ascii="宋体" w:hAnsi="宋体" w:eastAsia="宋体" w:cs="宋体"/>
                <w:snapToGrid w:val="0"/>
                <w:spacing w:val="6"/>
                <w:kern w:val="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restart"/>
            <w:tcBorders>
              <w:bottom w:val="nil"/>
            </w:tcBorders>
          </w:tcPr>
          <w:p>
            <w:pPr>
              <w:widowControl/>
              <w:kinsoku w:val="0"/>
              <w:autoSpaceDE w:val="0"/>
              <w:autoSpaceDN w:val="0"/>
              <w:adjustRightInd w:val="0"/>
              <w:snapToGrid w:val="0"/>
              <w:spacing w:before="254" w:line="234" w:lineRule="auto"/>
              <w:ind w:left="138"/>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西</w:t>
            </w:r>
          </w:p>
        </w:tc>
        <w:tc>
          <w:tcPr>
            <w:tcW w:w="2267" w:type="dxa"/>
          </w:tcPr>
          <w:p>
            <w:pPr>
              <w:widowControl/>
              <w:kinsoku w:val="0"/>
              <w:autoSpaceDE w:val="0"/>
              <w:autoSpaceDN w:val="0"/>
              <w:adjustRightInd w:val="0"/>
              <w:snapToGrid w:val="0"/>
              <w:spacing w:before="79" w:line="231" w:lineRule="auto"/>
              <w:ind w:left="973"/>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2"/>
                <w:kern w:val="0"/>
                <w:sz w:val="21"/>
                <w:szCs w:val="21"/>
              </w:rPr>
              <w:t>围墙</w:t>
            </w:r>
          </w:p>
        </w:tc>
        <w:tc>
          <w:tcPr>
            <w:tcW w:w="680" w:type="dxa"/>
          </w:tcPr>
          <w:p>
            <w:pPr>
              <w:widowControl/>
              <w:kinsoku w:val="0"/>
              <w:autoSpaceDE w:val="0"/>
              <w:autoSpaceDN w:val="0"/>
              <w:adjustRightInd w:val="0"/>
              <w:snapToGrid w:val="0"/>
              <w:spacing w:before="80"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0" w:type="dxa"/>
          </w:tcPr>
          <w:p>
            <w:pPr>
              <w:widowControl/>
              <w:kinsoku w:val="0"/>
              <w:autoSpaceDE w:val="0"/>
              <w:autoSpaceDN w:val="0"/>
              <w:adjustRightInd w:val="0"/>
              <w:snapToGrid w:val="0"/>
              <w:spacing w:before="80" w:line="235" w:lineRule="auto"/>
              <w:ind w:left="29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w:t>
            </w:r>
          </w:p>
        </w:tc>
        <w:tc>
          <w:tcPr>
            <w:tcW w:w="681" w:type="dxa"/>
          </w:tcPr>
          <w:p>
            <w:pPr>
              <w:widowControl/>
              <w:kinsoku w:val="0"/>
              <w:autoSpaceDE w:val="0"/>
              <w:autoSpaceDN w:val="0"/>
              <w:adjustRightInd w:val="0"/>
              <w:snapToGrid w:val="0"/>
              <w:spacing w:before="108" w:line="194" w:lineRule="auto"/>
              <w:ind w:left="255"/>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1"/>
                <w:kern w:val="0"/>
                <w:sz w:val="21"/>
                <w:szCs w:val="21"/>
              </w:rPr>
              <w:t>22</w:t>
            </w:r>
          </w:p>
        </w:tc>
        <w:tc>
          <w:tcPr>
            <w:tcW w:w="680" w:type="dxa"/>
          </w:tcPr>
          <w:p>
            <w:pPr>
              <w:widowControl/>
              <w:kinsoku w:val="0"/>
              <w:autoSpaceDE w:val="0"/>
              <w:autoSpaceDN w:val="0"/>
              <w:adjustRightInd w:val="0"/>
              <w:snapToGrid w:val="0"/>
              <w:spacing w:before="109" w:line="191" w:lineRule="auto"/>
              <w:ind w:left="30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5</w:t>
            </w:r>
          </w:p>
        </w:tc>
        <w:tc>
          <w:tcPr>
            <w:tcW w:w="681" w:type="dxa"/>
          </w:tcPr>
          <w:p>
            <w:pPr>
              <w:widowControl/>
              <w:kinsoku w:val="0"/>
              <w:autoSpaceDE w:val="0"/>
              <w:autoSpaceDN w:val="0"/>
              <w:adjustRightInd w:val="0"/>
              <w:snapToGrid w:val="0"/>
              <w:spacing w:before="80"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107" w:line="193" w:lineRule="auto"/>
              <w:ind w:left="586"/>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3</w:t>
            </w:r>
            <w:r>
              <w:rPr>
                <w:rFonts w:hint="eastAsia" w:ascii="宋体" w:hAnsi="宋体" w:eastAsia="宋体" w:cs="宋体"/>
                <w:snapToGrid w:val="0"/>
                <w:spacing w:val="3"/>
                <w:kern w:val="0"/>
                <w:sz w:val="21"/>
                <w:szCs w:val="21"/>
              </w:rPr>
              <w:t>.4.12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continue"/>
            <w:tcBorders>
              <w:top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2267" w:type="dxa"/>
          </w:tcPr>
          <w:p>
            <w:pPr>
              <w:widowControl/>
              <w:kinsoku w:val="0"/>
              <w:autoSpaceDE w:val="0"/>
              <w:autoSpaceDN w:val="0"/>
              <w:adjustRightInd w:val="0"/>
              <w:snapToGrid w:val="0"/>
              <w:spacing w:before="94" w:line="230" w:lineRule="auto"/>
              <w:ind w:left="778"/>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8"/>
                <w:kern w:val="0"/>
                <w:sz w:val="21"/>
                <w:szCs w:val="21"/>
              </w:rPr>
              <w:t>动力中心</w:t>
            </w:r>
          </w:p>
        </w:tc>
        <w:tc>
          <w:tcPr>
            <w:tcW w:w="680" w:type="dxa"/>
          </w:tcPr>
          <w:p>
            <w:pPr>
              <w:widowControl/>
              <w:kinsoku w:val="0"/>
              <w:autoSpaceDE w:val="0"/>
              <w:autoSpaceDN w:val="0"/>
              <w:adjustRightInd w:val="0"/>
              <w:snapToGrid w:val="0"/>
              <w:spacing w:before="94" w:line="230" w:lineRule="auto"/>
              <w:ind w:left="1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丁类</w:t>
            </w:r>
          </w:p>
        </w:tc>
        <w:tc>
          <w:tcPr>
            <w:tcW w:w="680" w:type="dxa"/>
          </w:tcPr>
          <w:p>
            <w:pPr>
              <w:widowControl/>
              <w:kinsoku w:val="0"/>
              <w:autoSpaceDE w:val="0"/>
              <w:autoSpaceDN w:val="0"/>
              <w:adjustRightInd w:val="0"/>
              <w:snapToGrid w:val="0"/>
              <w:spacing w:before="94" w:line="232"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二级</w:t>
            </w:r>
          </w:p>
        </w:tc>
        <w:tc>
          <w:tcPr>
            <w:tcW w:w="681" w:type="dxa"/>
          </w:tcPr>
          <w:p>
            <w:pPr>
              <w:widowControl/>
              <w:kinsoku w:val="0"/>
              <w:autoSpaceDE w:val="0"/>
              <w:autoSpaceDN w:val="0"/>
              <w:adjustRightInd w:val="0"/>
              <w:snapToGrid w:val="0"/>
              <w:spacing w:before="107"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8</w:t>
            </w:r>
          </w:p>
        </w:tc>
        <w:tc>
          <w:tcPr>
            <w:tcW w:w="680" w:type="dxa"/>
          </w:tcPr>
          <w:p>
            <w:pPr>
              <w:widowControl/>
              <w:kinsoku w:val="0"/>
              <w:autoSpaceDE w:val="0"/>
              <w:autoSpaceDN w:val="0"/>
              <w:adjustRightInd w:val="0"/>
              <w:snapToGrid w:val="0"/>
              <w:spacing w:before="107"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0</w:t>
            </w:r>
          </w:p>
        </w:tc>
        <w:tc>
          <w:tcPr>
            <w:tcW w:w="681" w:type="dxa"/>
          </w:tcPr>
          <w:p>
            <w:pPr>
              <w:widowControl/>
              <w:kinsoku w:val="0"/>
              <w:autoSpaceDE w:val="0"/>
              <w:autoSpaceDN w:val="0"/>
              <w:adjustRightInd w:val="0"/>
              <w:snapToGrid w:val="0"/>
              <w:spacing w:before="80"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107" w:line="193" w:lineRule="auto"/>
              <w:ind w:left="632"/>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3.4.</w:t>
            </w:r>
            <w:r>
              <w:rPr>
                <w:rFonts w:hint="eastAsia" w:ascii="宋体" w:hAnsi="宋体" w:eastAsia="宋体" w:cs="宋体"/>
                <w:snapToGrid w:val="0"/>
                <w:spacing w:val="5"/>
                <w:kern w:val="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nil"/>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restart"/>
            <w:tcBorders>
              <w:bottom w:val="nil"/>
            </w:tcBorders>
          </w:tcPr>
          <w:p>
            <w:pPr>
              <w:widowControl/>
              <w:kinsoku w:val="0"/>
              <w:autoSpaceDE w:val="0"/>
              <w:autoSpaceDN w:val="0"/>
              <w:adjustRightInd w:val="0"/>
              <w:snapToGrid w:val="0"/>
              <w:spacing w:before="254" w:line="234" w:lineRule="auto"/>
              <w:ind w:left="13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北</w:t>
            </w:r>
          </w:p>
        </w:tc>
        <w:tc>
          <w:tcPr>
            <w:tcW w:w="2267" w:type="dxa"/>
          </w:tcPr>
          <w:p>
            <w:pPr>
              <w:widowControl/>
              <w:kinsoku w:val="0"/>
              <w:autoSpaceDE w:val="0"/>
              <w:autoSpaceDN w:val="0"/>
              <w:adjustRightInd w:val="0"/>
              <w:snapToGrid w:val="0"/>
              <w:spacing w:before="93" w:line="227" w:lineRule="auto"/>
              <w:ind w:left="418"/>
              <w:jc w:val="center"/>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7"/>
                <w:kern w:val="0"/>
                <w:sz w:val="21"/>
                <w:szCs w:val="21"/>
              </w:rPr>
              <w:t>测试厂房</w:t>
            </w:r>
          </w:p>
        </w:tc>
        <w:tc>
          <w:tcPr>
            <w:tcW w:w="680" w:type="dxa"/>
          </w:tcPr>
          <w:p>
            <w:pPr>
              <w:widowControl/>
              <w:kinsoku w:val="0"/>
              <w:autoSpaceDE w:val="0"/>
              <w:autoSpaceDN w:val="0"/>
              <w:adjustRightInd w:val="0"/>
              <w:snapToGrid w:val="0"/>
              <w:spacing w:before="94" w:line="231" w:lineRule="auto"/>
              <w:ind w:left="25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丙</w:t>
            </w:r>
          </w:p>
        </w:tc>
        <w:tc>
          <w:tcPr>
            <w:tcW w:w="680" w:type="dxa"/>
          </w:tcPr>
          <w:p>
            <w:pPr>
              <w:widowControl/>
              <w:kinsoku w:val="0"/>
              <w:autoSpaceDE w:val="0"/>
              <w:autoSpaceDN w:val="0"/>
              <w:adjustRightInd w:val="0"/>
              <w:snapToGrid w:val="0"/>
              <w:spacing w:before="94" w:line="232"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二级</w:t>
            </w:r>
          </w:p>
        </w:tc>
        <w:tc>
          <w:tcPr>
            <w:tcW w:w="681" w:type="dxa"/>
          </w:tcPr>
          <w:p>
            <w:pPr>
              <w:widowControl/>
              <w:kinsoku w:val="0"/>
              <w:autoSpaceDE w:val="0"/>
              <w:autoSpaceDN w:val="0"/>
              <w:adjustRightInd w:val="0"/>
              <w:snapToGrid w:val="0"/>
              <w:spacing w:before="108" w:line="192" w:lineRule="auto"/>
              <w:ind w:left="255"/>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1"/>
                <w:kern w:val="0"/>
                <w:sz w:val="21"/>
                <w:szCs w:val="21"/>
              </w:rPr>
              <w:t>27</w:t>
            </w:r>
          </w:p>
        </w:tc>
        <w:tc>
          <w:tcPr>
            <w:tcW w:w="680" w:type="dxa"/>
          </w:tcPr>
          <w:p>
            <w:pPr>
              <w:widowControl/>
              <w:kinsoku w:val="0"/>
              <w:autoSpaceDE w:val="0"/>
              <w:autoSpaceDN w:val="0"/>
              <w:adjustRightInd w:val="0"/>
              <w:snapToGrid w:val="0"/>
              <w:spacing w:before="107"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0</w:t>
            </w:r>
          </w:p>
        </w:tc>
        <w:tc>
          <w:tcPr>
            <w:tcW w:w="681" w:type="dxa"/>
          </w:tcPr>
          <w:p>
            <w:pPr>
              <w:widowControl/>
              <w:kinsoku w:val="0"/>
              <w:autoSpaceDE w:val="0"/>
              <w:autoSpaceDN w:val="0"/>
              <w:adjustRightInd w:val="0"/>
              <w:snapToGrid w:val="0"/>
              <w:spacing w:before="80"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107" w:line="193" w:lineRule="auto"/>
              <w:ind w:left="632"/>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3.4.</w:t>
            </w:r>
            <w:r>
              <w:rPr>
                <w:rFonts w:hint="eastAsia" w:ascii="宋体" w:hAnsi="宋体" w:eastAsia="宋体" w:cs="宋体"/>
                <w:snapToGrid w:val="0"/>
                <w:spacing w:val="5"/>
                <w:kern w:val="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Borders>
              <w:top w:val="nil"/>
              <w:bottom w:val="single" w:color="auto" w:sz="4" w:space="0"/>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867" w:type="dxa"/>
            <w:vMerge w:val="continue"/>
            <w:tcBorders>
              <w:top w:val="nil"/>
              <w:bottom w:val="single" w:color="auto" w:sz="4" w:space="0"/>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444" w:type="dxa"/>
            <w:vMerge w:val="continue"/>
            <w:tcBorders>
              <w:top w:val="nil"/>
              <w:bottom w:val="single" w:color="auto" w:sz="4" w:space="0"/>
            </w:tcBorders>
          </w:tcPr>
          <w:p>
            <w:pPr>
              <w:widowControl/>
              <w:kinsoku w:val="0"/>
              <w:autoSpaceDE w:val="0"/>
              <w:autoSpaceDN w:val="0"/>
              <w:adjustRightInd w:val="0"/>
              <w:snapToGrid w:val="0"/>
              <w:spacing w:line="240" w:lineRule="auto"/>
              <w:jc w:val="left"/>
              <w:textAlignment w:val="baseline"/>
              <w:rPr>
                <w:rFonts w:hint="eastAsia" w:ascii="宋体" w:hAnsi="宋体" w:eastAsia="宋体" w:cs="宋体"/>
                <w:snapToGrid w:val="0"/>
                <w:kern w:val="0"/>
                <w:sz w:val="21"/>
                <w:szCs w:val="21"/>
              </w:rPr>
            </w:pPr>
          </w:p>
        </w:tc>
        <w:tc>
          <w:tcPr>
            <w:tcW w:w="2267" w:type="dxa"/>
            <w:tcBorders>
              <w:bottom w:val="single" w:color="auto" w:sz="4" w:space="0"/>
            </w:tcBorders>
          </w:tcPr>
          <w:p>
            <w:pPr>
              <w:widowControl/>
              <w:kinsoku w:val="0"/>
              <w:autoSpaceDE w:val="0"/>
              <w:autoSpaceDN w:val="0"/>
              <w:adjustRightInd w:val="0"/>
              <w:snapToGrid w:val="0"/>
              <w:spacing w:before="80" w:line="227" w:lineRule="auto"/>
              <w:ind w:left="508"/>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8"/>
                <w:kern w:val="0"/>
                <w:sz w:val="21"/>
                <w:szCs w:val="21"/>
              </w:rPr>
              <w:t>综</w:t>
            </w:r>
            <w:r>
              <w:rPr>
                <w:rFonts w:hint="eastAsia" w:ascii="宋体" w:hAnsi="宋体" w:eastAsia="宋体" w:cs="宋体"/>
                <w:snapToGrid w:val="0"/>
                <w:spacing w:val="6"/>
                <w:kern w:val="0"/>
                <w:sz w:val="21"/>
                <w:szCs w:val="21"/>
              </w:rPr>
              <w:t>合楼 (食堂)</w:t>
            </w:r>
          </w:p>
        </w:tc>
        <w:tc>
          <w:tcPr>
            <w:tcW w:w="680" w:type="dxa"/>
          </w:tcPr>
          <w:p>
            <w:pPr>
              <w:widowControl/>
              <w:kinsoku w:val="0"/>
              <w:autoSpaceDE w:val="0"/>
              <w:autoSpaceDN w:val="0"/>
              <w:adjustRightInd w:val="0"/>
              <w:snapToGrid w:val="0"/>
              <w:spacing w:before="94" w:line="231" w:lineRule="auto"/>
              <w:ind w:left="181"/>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3"/>
                <w:kern w:val="0"/>
                <w:sz w:val="21"/>
                <w:szCs w:val="21"/>
              </w:rPr>
              <w:t>民</w:t>
            </w:r>
            <w:r>
              <w:rPr>
                <w:rFonts w:hint="eastAsia" w:ascii="宋体" w:hAnsi="宋体" w:eastAsia="宋体" w:cs="宋体"/>
                <w:snapToGrid w:val="0"/>
                <w:spacing w:val="-2"/>
                <w:kern w:val="0"/>
                <w:sz w:val="21"/>
                <w:szCs w:val="21"/>
              </w:rPr>
              <w:t>用</w:t>
            </w:r>
          </w:p>
        </w:tc>
        <w:tc>
          <w:tcPr>
            <w:tcW w:w="680" w:type="dxa"/>
          </w:tcPr>
          <w:p>
            <w:pPr>
              <w:widowControl/>
              <w:kinsoku w:val="0"/>
              <w:autoSpaceDE w:val="0"/>
              <w:autoSpaceDN w:val="0"/>
              <w:adjustRightInd w:val="0"/>
              <w:snapToGrid w:val="0"/>
              <w:spacing w:before="94" w:line="232"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5"/>
                <w:kern w:val="0"/>
                <w:sz w:val="21"/>
                <w:szCs w:val="21"/>
              </w:rPr>
              <w:t>二级</w:t>
            </w:r>
          </w:p>
        </w:tc>
        <w:tc>
          <w:tcPr>
            <w:tcW w:w="681" w:type="dxa"/>
          </w:tcPr>
          <w:p>
            <w:pPr>
              <w:widowControl/>
              <w:kinsoku w:val="0"/>
              <w:autoSpaceDE w:val="0"/>
              <w:autoSpaceDN w:val="0"/>
              <w:adjustRightInd w:val="0"/>
              <w:snapToGrid w:val="0"/>
              <w:spacing w:before="108" w:line="192" w:lineRule="auto"/>
              <w:ind w:left="25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54</w:t>
            </w:r>
          </w:p>
        </w:tc>
        <w:tc>
          <w:tcPr>
            <w:tcW w:w="680" w:type="dxa"/>
          </w:tcPr>
          <w:p>
            <w:pPr>
              <w:widowControl/>
              <w:kinsoku w:val="0"/>
              <w:autoSpaceDE w:val="0"/>
              <w:autoSpaceDN w:val="0"/>
              <w:adjustRightInd w:val="0"/>
              <w:snapToGrid w:val="0"/>
              <w:spacing w:before="107" w:line="193" w:lineRule="auto"/>
              <w:ind w:left="267"/>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1</w:t>
            </w:r>
            <w:r>
              <w:rPr>
                <w:rFonts w:hint="eastAsia" w:ascii="宋体" w:hAnsi="宋体" w:eastAsia="宋体" w:cs="宋体"/>
                <w:snapToGrid w:val="0"/>
                <w:spacing w:val="-4"/>
                <w:kern w:val="0"/>
                <w:sz w:val="21"/>
                <w:szCs w:val="21"/>
              </w:rPr>
              <w:t>0</w:t>
            </w:r>
          </w:p>
        </w:tc>
        <w:tc>
          <w:tcPr>
            <w:tcW w:w="681" w:type="dxa"/>
          </w:tcPr>
          <w:p>
            <w:pPr>
              <w:widowControl/>
              <w:kinsoku w:val="0"/>
              <w:autoSpaceDE w:val="0"/>
              <w:autoSpaceDN w:val="0"/>
              <w:adjustRightInd w:val="0"/>
              <w:snapToGrid w:val="0"/>
              <w:spacing w:before="80" w:line="230" w:lineRule="auto"/>
              <w:ind w:left="166"/>
              <w:jc w:val="left"/>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符</w:t>
            </w:r>
            <w:r>
              <w:rPr>
                <w:rFonts w:hint="eastAsia" w:ascii="宋体" w:hAnsi="宋体" w:eastAsia="宋体" w:cs="宋体"/>
                <w:snapToGrid w:val="0"/>
                <w:spacing w:val="5"/>
                <w:kern w:val="0"/>
                <w:sz w:val="21"/>
                <w:szCs w:val="21"/>
              </w:rPr>
              <w:t>合</w:t>
            </w:r>
          </w:p>
        </w:tc>
        <w:tc>
          <w:tcPr>
            <w:tcW w:w="1700" w:type="dxa"/>
          </w:tcPr>
          <w:p>
            <w:pPr>
              <w:widowControl/>
              <w:kinsoku w:val="0"/>
              <w:autoSpaceDE w:val="0"/>
              <w:autoSpaceDN w:val="0"/>
              <w:adjustRightInd w:val="0"/>
              <w:snapToGrid w:val="0"/>
              <w:spacing w:before="107" w:line="193" w:lineRule="auto"/>
              <w:ind w:left="632"/>
              <w:textAlignment w:val="baseline"/>
              <w:rPr>
                <w:rFonts w:hint="eastAsia" w:ascii="宋体" w:hAnsi="宋体" w:eastAsia="宋体" w:cs="宋体"/>
                <w:snapToGrid w:val="0"/>
                <w:kern w:val="0"/>
                <w:sz w:val="21"/>
                <w:szCs w:val="21"/>
              </w:rPr>
            </w:pPr>
            <w:r>
              <w:rPr>
                <w:rFonts w:hint="eastAsia" w:ascii="宋体" w:hAnsi="宋体" w:eastAsia="宋体" w:cs="宋体"/>
                <w:snapToGrid w:val="0"/>
                <w:spacing w:val="6"/>
                <w:kern w:val="0"/>
                <w:sz w:val="21"/>
                <w:szCs w:val="21"/>
              </w:rPr>
              <w:t>3.4.</w:t>
            </w:r>
            <w:r>
              <w:rPr>
                <w:rFonts w:hint="eastAsia" w:ascii="宋体" w:hAnsi="宋体" w:eastAsia="宋体" w:cs="宋体"/>
                <w:snapToGrid w:val="0"/>
                <w:spacing w:val="5"/>
                <w:kern w:val="0"/>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restart"/>
            <w:tcBorders>
              <w:top w:val="single" w:color="auto" w:sz="4" w:space="0"/>
            </w:tcBorders>
          </w:tcPr>
          <w:p>
            <w:pPr>
              <w:widowControl/>
              <w:kinsoku w:val="0"/>
              <w:autoSpaceDE w:val="0"/>
              <w:autoSpaceDN w:val="0"/>
              <w:adjustRightInd w:val="0"/>
              <w:snapToGrid w:val="0"/>
              <w:spacing w:before="93" w:line="227" w:lineRule="auto"/>
              <w:ind w:left="418"/>
              <w:jc w:val="left"/>
              <w:textAlignment w:val="baseline"/>
              <w:rPr>
                <w:rFonts w:hint="eastAsia" w:ascii="宋体" w:hAnsi="宋体" w:eastAsia="宋体" w:cs="宋体"/>
                <w:snapToGrid w:val="0"/>
                <w:spacing w:val="7"/>
                <w:kern w:val="0"/>
                <w:sz w:val="21"/>
                <w:szCs w:val="21"/>
              </w:rPr>
            </w:pPr>
          </w:p>
          <w:p>
            <w:pPr>
              <w:widowControl/>
              <w:kinsoku w:val="0"/>
              <w:autoSpaceDE w:val="0"/>
              <w:autoSpaceDN w:val="0"/>
              <w:adjustRightInd w:val="0"/>
              <w:snapToGrid w:val="0"/>
              <w:spacing w:before="93" w:line="227" w:lineRule="auto"/>
              <w:ind w:left="418"/>
              <w:jc w:val="left"/>
              <w:textAlignment w:val="baseline"/>
              <w:rPr>
                <w:rFonts w:hint="eastAsia" w:ascii="宋体" w:hAnsi="宋体" w:eastAsia="宋体" w:cs="宋体"/>
                <w:snapToGrid w:val="0"/>
                <w:spacing w:val="7"/>
                <w:kern w:val="0"/>
                <w:sz w:val="21"/>
                <w:szCs w:val="21"/>
              </w:rPr>
            </w:pPr>
          </w:p>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113</w:t>
            </w:r>
          </w:p>
        </w:tc>
        <w:tc>
          <w:tcPr>
            <w:tcW w:w="867" w:type="dxa"/>
            <w:vMerge w:val="restart"/>
            <w:tcBorders>
              <w:top w:val="single" w:color="auto" w:sz="4" w:space="0"/>
            </w:tcBorders>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露天设 备区二 (氨水 罐区</w:t>
            </w:r>
            <w:r>
              <w:rPr>
                <w:rFonts w:hint="eastAsia" w:ascii="宋体" w:hAnsi="宋体" w:eastAsia="宋体" w:cs="宋体"/>
                <w:snapToGrid w:val="0"/>
                <w:spacing w:val="7"/>
                <w:kern w:val="0"/>
                <w:sz w:val="21"/>
                <w:szCs w:val="21"/>
                <w:lang w:eastAsia="zh-CN"/>
              </w:rPr>
              <w:t>、</w:t>
            </w:r>
            <w:r>
              <w:rPr>
                <w:rFonts w:hint="eastAsia" w:ascii="宋体" w:hAnsi="宋体" w:eastAsia="宋体" w:cs="宋体"/>
                <w:snapToGrid w:val="0"/>
                <w:spacing w:val="7"/>
                <w:kern w:val="0"/>
                <w:sz w:val="21"/>
                <w:szCs w:val="21"/>
              </w:rPr>
              <w:t>戊类)</w:t>
            </w:r>
          </w:p>
        </w:tc>
        <w:tc>
          <w:tcPr>
            <w:tcW w:w="444" w:type="dxa"/>
            <w:tcBorders>
              <w:top w:val="single" w:color="auto" w:sz="4" w:space="0"/>
            </w:tcBorders>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东</w:t>
            </w:r>
          </w:p>
        </w:tc>
        <w:tc>
          <w:tcPr>
            <w:tcW w:w="2267" w:type="dxa"/>
            <w:tcBorders>
              <w:top w:val="single" w:color="auto" w:sz="4" w:space="0"/>
            </w:tcBorders>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仓库二</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乙类</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二级</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18.3</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15</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符合</w:t>
            </w:r>
          </w:p>
        </w:tc>
        <w:tc>
          <w:tcPr>
            <w:tcW w:w="170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4.2.1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Pr>
          <w:p>
            <w:pPr>
              <w:widowControl/>
              <w:kinsoku w:val="0"/>
              <w:autoSpaceDE w:val="0"/>
              <w:autoSpaceDN w:val="0"/>
              <w:adjustRightInd w:val="0"/>
              <w:snapToGrid w:val="0"/>
              <w:spacing w:before="93" w:line="227" w:lineRule="auto"/>
              <w:ind w:left="418"/>
              <w:jc w:val="left"/>
              <w:textAlignment w:val="baseline"/>
              <w:rPr>
                <w:rFonts w:hint="eastAsia" w:ascii="宋体" w:hAnsi="宋体" w:eastAsia="宋体" w:cs="宋体"/>
                <w:snapToGrid w:val="0"/>
                <w:spacing w:val="7"/>
                <w:kern w:val="0"/>
                <w:sz w:val="21"/>
                <w:szCs w:val="21"/>
              </w:rPr>
            </w:pPr>
          </w:p>
        </w:tc>
        <w:tc>
          <w:tcPr>
            <w:tcW w:w="867" w:type="dxa"/>
            <w:vMerge w:val="continue"/>
          </w:tcPr>
          <w:p>
            <w:pPr>
              <w:widowControl/>
              <w:kinsoku w:val="0"/>
              <w:autoSpaceDE w:val="0"/>
              <w:autoSpaceDN w:val="0"/>
              <w:adjustRightInd w:val="0"/>
              <w:snapToGrid w:val="0"/>
              <w:spacing w:before="93" w:line="227" w:lineRule="auto"/>
              <w:ind w:left="418"/>
              <w:jc w:val="center"/>
              <w:textAlignment w:val="baseline"/>
              <w:rPr>
                <w:rFonts w:hint="eastAsia" w:ascii="宋体" w:hAnsi="宋体" w:eastAsia="宋体" w:cs="宋体"/>
                <w:snapToGrid w:val="0"/>
                <w:spacing w:val="7"/>
                <w:kern w:val="0"/>
                <w:sz w:val="21"/>
                <w:szCs w:val="21"/>
              </w:rPr>
            </w:pPr>
          </w:p>
        </w:tc>
        <w:tc>
          <w:tcPr>
            <w:tcW w:w="444"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南</w:t>
            </w:r>
          </w:p>
        </w:tc>
        <w:tc>
          <w:tcPr>
            <w:tcW w:w="2267"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 xml:space="preserve">空地 </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w:t>
            </w:r>
          </w:p>
        </w:tc>
        <w:tc>
          <w:tcPr>
            <w:tcW w:w="681" w:type="dxa"/>
          </w:tcPr>
          <w:p>
            <w:pPr>
              <w:widowControl/>
              <w:kinsoku w:val="0"/>
              <w:autoSpaceDE w:val="0"/>
              <w:autoSpaceDN w:val="0"/>
              <w:adjustRightInd w:val="0"/>
              <w:snapToGrid w:val="0"/>
              <w:spacing w:before="93" w:line="227" w:lineRule="auto"/>
              <w:ind w:firstLine="224" w:firstLineChars="100"/>
              <w:jc w:val="both"/>
              <w:textAlignment w:val="baseline"/>
              <w:rPr>
                <w:rFonts w:hint="eastAsia" w:ascii="宋体" w:hAnsi="宋体" w:eastAsia="宋体" w:cs="宋体"/>
                <w:snapToGrid w:val="0"/>
                <w:spacing w:val="7"/>
                <w:kern w:val="0"/>
                <w:sz w:val="21"/>
                <w:szCs w:val="21"/>
                <w:lang w:val="en-US" w:eastAsia="zh-CN"/>
              </w:rPr>
            </w:pPr>
            <w:r>
              <w:rPr>
                <w:rFonts w:hint="eastAsia" w:ascii="宋体" w:hAnsi="宋体" w:eastAsia="宋体" w:cs="宋体"/>
                <w:snapToGrid w:val="0"/>
                <w:spacing w:val="7"/>
                <w:kern w:val="0"/>
                <w:sz w:val="21"/>
                <w:szCs w:val="21"/>
                <w:lang w:val="en-US" w:eastAsia="zh-CN"/>
              </w:rPr>
              <w:t>-</w:t>
            </w:r>
          </w:p>
        </w:tc>
        <w:tc>
          <w:tcPr>
            <w:tcW w:w="1700" w:type="dxa"/>
          </w:tcPr>
          <w:p>
            <w:pPr>
              <w:widowControl/>
              <w:kinsoku w:val="0"/>
              <w:autoSpaceDE w:val="0"/>
              <w:autoSpaceDN w:val="0"/>
              <w:adjustRightInd w:val="0"/>
              <w:snapToGrid w:val="0"/>
              <w:spacing w:before="93" w:line="227" w:lineRule="auto"/>
              <w:ind w:left="418" w:firstLine="448" w:firstLineChars="200"/>
              <w:jc w:val="both"/>
              <w:textAlignment w:val="baseline"/>
              <w:rPr>
                <w:rFonts w:hint="eastAsia" w:ascii="宋体" w:hAnsi="宋体" w:eastAsia="宋体" w:cs="宋体"/>
                <w:snapToGrid w:val="0"/>
                <w:spacing w:val="7"/>
                <w:kern w:val="0"/>
                <w:sz w:val="21"/>
                <w:szCs w:val="21"/>
                <w:lang w:val="en-US" w:eastAsia="zh-CN"/>
              </w:rPr>
            </w:pPr>
            <w:r>
              <w:rPr>
                <w:rFonts w:hint="eastAsia" w:ascii="宋体" w:hAnsi="宋体" w:eastAsia="宋体" w:cs="宋体"/>
                <w:snapToGrid w:val="0"/>
                <w:spacing w:val="7"/>
                <w:kern w:val="0"/>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Pr>
          <w:p>
            <w:pPr>
              <w:widowControl/>
              <w:kinsoku w:val="0"/>
              <w:autoSpaceDE w:val="0"/>
              <w:autoSpaceDN w:val="0"/>
              <w:adjustRightInd w:val="0"/>
              <w:snapToGrid w:val="0"/>
              <w:spacing w:before="93" w:line="227" w:lineRule="auto"/>
              <w:ind w:left="418"/>
              <w:jc w:val="left"/>
              <w:textAlignment w:val="baseline"/>
              <w:rPr>
                <w:rFonts w:hint="eastAsia" w:ascii="宋体" w:hAnsi="宋体" w:eastAsia="宋体" w:cs="宋体"/>
                <w:snapToGrid w:val="0"/>
                <w:spacing w:val="7"/>
                <w:kern w:val="0"/>
                <w:sz w:val="21"/>
                <w:szCs w:val="21"/>
              </w:rPr>
            </w:pPr>
          </w:p>
        </w:tc>
        <w:tc>
          <w:tcPr>
            <w:tcW w:w="867" w:type="dxa"/>
            <w:vMerge w:val="continue"/>
          </w:tcPr>
          <w:p>
            <w:pPr>
              <w:widowControl/>
              <w:kinsoku w:val="0"/>
              <w:autoSpaceDE w:val="0"/>
              <w:autoSpaceDN w:val="0"/>
              <w:adjustRightInd w:val="0"/>
              <w:snapToGrid w:val="0"/>
              <w:spacing w:before="93" w:line="227" w:lineRule="auto"/>
              <w:ind w:left="418"/>
              <w:jc w:val="center"/>
              <w:textAlignment w:val="baseline"/>
              <w:rPr>
                <w:rFonts w:hint="eastAsia" w:ascii="宋体" w:hAnsi="宋体" w:eastAsia="宋体" w:cs="宋体"/>
                <w:snapToGrid w:val="0"/>
                <w:spacing w:val="7"/>
                <w:kern w:val="0"/>
                <w:sz w:val="21"/>
                <w:szCs w:val="21"/>
              </w:rPr>
            </w:pPr>
          </w:p>
        </w:tc>
        <w:tc>
          <w:tcPr>
            <w:tcW w:w="444"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西</w:t>
            </w:r>
          </w:p>
        </w:tc>
        <w:tc>
          <w:tcPr>
            <w:tcW w:w="2267"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仓库三 (硅烷站)</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甲类</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一级</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36</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15</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符合</w:t>
            </w:r>
          </w:p>
        </w:tc>
        <w:tc>
          <w:tcPr>
            <w:tcW w:w="170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4.2.1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644" w:type="dxa"/>
            <w:vMerge w:val="continue"/>
          </w:tcPr>
          <w:p>
            <w:pPr>
              <w:widowControl/>
              <w:kinsoku w:val="0"/>
              <w:autoSpaceDE w:val="0"/>
              <w:autoSpaceDN w:val="0"/>
              <w:adjustRightInd w:val="0"/>
              <w:snapToGrid w:val="0"/>
              <w:spacing w:before="93" w:line="227" w:lineRule="auto"/>
              <w:ind w:left="418"/>
              <w:jc w:val="left"/>
              <w:textAlignment w:val="baseline"/>
              <w:rPr>
                <w:rFonts w:hint="eastAsia" w:ascii="宋体" w:hAnsi="宋体" w:eastAsia="宋体" w:cs="宋体"/>
                <w:snapToGrid w:val="0"/>
                <w:spacing w:val="7"/>
                <w:kern w:val="0"/>
                <w:sz w:val="21"/>
                <w:szCs w:val="21"/>
              </w:rPr>
            </w:pPr>
          </w:p>
        </w:tc>
        <w:tc>
          <w:tcPr>
            <w:tcW w:w="867" w:type="dxa"/>
            <w:vMerge w:val="continue"/>
          </w:tcPr>
          <w:p>
            <w:pPr>
              <w:widowControl/>
              <w:kinsoku w:val="0"/>
              <w:autoSpaceDE w:val="0"/>
              <w:autoSpaceDN w:val="0"/>
              <w:adjustRightInd w:val="0"/>
              <w:snapToGrid w:val="0"/>
              <w:spacing w:before="93" w:line="227" w:lineRule="auto"/>
              <w:ind w:left="418"/>
              <w:jc w:val="center"/>
              <w:textAlignment w:val="baseline"/>
              <w:rPr>
                <w:rFonts w:hint="eastAsia" w:ascii="宋体" w:hAnsi="宋体" w:eastAsia="宋体" w:cs="宋体"/>
                <w:snapToGrid w:val="0"/>
                <w:spacing w:val="7"/>
                <w:kern w:val="0"/>
                <w:sz w:val="21"/>
                <w:szCs w:val="21"/>
              </w:rPr>
            </w:pPr>
          </w:p>
        </w:tc>
        <w:tc>
          <w:tcPr>
            <w:tcW w:w="444"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北</w:t>
            </w:r>
          </w:p>
        </w:tc>
        <w:tc>
          <w:tcPr>
            <w:tcW w:w="2267"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芯片外延厂房</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丙类</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一级</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29.75</w:t>
            </w:r>
          </w:p>
        </w:tc>
        <w:tc>
          <w:tcPr>
            <w:tcW w:w="68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15</w:t>
            </w:r>
          </w:p>
        </w:tc>
        <w:tc>
          <w:tcPr>
            <w:tcW w:w="681"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符合</w:t>
            </w:r>
          </w:p>
        </w:tc>
        <w:tc>
          <w:tcPr>
            <w:tcW w:w="1700" w:type="dxa"/>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4.2.1</w:t>
            </w:r>
          </w:p>
        </w:tc>
      </w:tr>
    </w:tbl>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评价小结：建设项目各建构筑物防火间距检查符合要求。</w:t>
      </w:r>
    </w:p>
    <w:p>
      <w:pPr>
        <w:pageBreakBefore w:val="0"/>
        <w:kinsoku/>
        <w:wordWrap/>
        <w:overflowPunct/>
        <w:topLinePunct w:val="0"/>
        <w:autoSpaceDE/>
        <w:autoSpaceDN/>
        <w:bidi w:val="0"/>
        <w:adjustRightInd w:val="0"/>
        <w:snapToGrid w:val="0"/>
        <w:spacing w:line="600" w:lineRule="exact"/>
        <w:textAlignment w:val="auto"/>
        <w:rPr>
          <w:rFonts w:hint="eastAsia" w:ascii="宋体" w:hAnsi="宋体" w:eastAsia="宋体" w:cs="宋体"/>
          <w:szCs w:val="28"/>
        </w:rPr>
      </w:pPr>
      <w:r>
        <w:rPr>
          <w:rFonts w:hint="eastAsia" w:ascii="宋体" w:hAnsi="宋体" w:eastAsia="宋体" w:cs="宋体"/>
          <w:szCs w:val="28"/>
        </w:rPr>
        <w:t>2、耐火等级、层数、面积</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根据《建筑设计防火规范》GB50016-2014（2018版）编制耐火等级、层数、面积安全检查表。</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该企业的耐火等级、层数和防火分区建筑面积的符合性见下表。</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rPr>
      </w:pPr>
      <w:r>
        <w:rPr>
          <w:rFonts w:hint="eastAsia" w:ascii="宋体" w:hAnsi="宋体" w:eastAsia="宋体" w:cs="宋体"/>
        </w:rPr>
        <w:t>表7.4-2 厂房的耐火等级、层数、面积检查表</w:t>
      </w:r>
    </w:p>
    <w:tbl>
      <w:tblPr>
        <w:tblStyle w:val="28"/>
        <w:tblW w:w="921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434"/>
        <w:gridCol w:w="1020"/>
        <w:gridCol w:w="368"/>
        <w:gridCol w:w="849"/>
        <w:gridCol w:w="598"/>
        <w:gridCol w:w="836"/>
        <w:gridCol w:w="1163"/>
        <w:gridCol w:w="1351"/>
        <w:gridCol w:w="953"/>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771" w:type="dxa"/>
            <w:vMerge w:val="restart"/>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建构筑物名称</w:t>
            </w:r>
          </w:p>
        </w:tc>
        <w:tc>
          <w:tcPr>
            <w:tcW w:w="434" w:type="dxa"/>
            <w:vMerge w:val="restart"/>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火险类别</w:t>
            </w:r>
          </w:p>
        </w:tc>
        <w:tc>
          <w:tcPr>
            <w:tcW w:w="2835" w:type="dxa"/>
            <w:gridSpan w:val="4"/>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设情况</w:t>
            </w:r>
          </w:p>
        </w:tc>
        <w:tc>
          <w:tcPr>
            <w:tcW w:w="3350" w:type="dxa"/>
            <w:gridSpan w:val="3"/>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规范要求</w:t>
            </w:r>
          </w:p>
        </w:tc>
        <w:tc>
          <w:tcPr>
            <w:tcW w:w="953"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p>
        </w:tc>
        <w:tc>
          <w:tcPr>
            <w:tcW w:w="875" w:type="dxa"/>
            <w:vMerge w:val="restart"/>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检查</w:t>
            </w:r>
          </w:p>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771" w:type="dxa"/>
            <w:vMerge w:val="continue"/>
          </w:tcPr>
          <w:p>
            <w:pPr>
              <w:widowControl/>
              <w:spacing w:line="320" w:lineRule="exact"/>
              <w:jc w:val="left"/>
              <w:rPr>
                <w:rFonts w:hint="eastAsia" w:ascii="宋体" w:hAnsi="宋体" w:eastAsia="宋体" w:cs="宋体"/>
                <w:b/>
                <w:bCs/>
                <w:kern w:val="0"/>
                <w:sz w:val="18"/>
                <w:szCs w:val="18"/>
              </w:rPr>
            </w:pPr>
          </w:p>
        </w:tc>
        <w:tc>
          <w:tcPr>
            <w:tcW w:w="434" w:type="dxa"/>
            <w:vMerge w:val="continue"/>
          </w:tcPr>
          <w:p>
            <w:pPr>
              <w:widowControl/>
              <w:spacing w:line="320" w:lineRule="exact"/>
              <w:jc w:val="left"/>
              <w:rPr>
                <w:rFonts w:hint="eastAsia" w:ascii="宋体" w:hAnsi="宋体" w:eastAsia="宋体" w:cs="宋体"/>
                <w:b/>
                <w:bCs/>
                <w:kern w:val="0"/>
                <w:sz w:val="18"/>
                <w:szCs w:val="18"/>
              </w:rPr>
            </w:pPr>
          </w:p>
        </w:tc>
        <w:tc>
          <w:tcPr>
            <w:tcW w:w="1020"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结构</w:t>
            </w:r>
          </w:p>
        </w:tc>
        <w:tc>
          <w:tcPr>
            <w:tcW w:w="368" w:type="dxa"/>
          </w:tcPr>
          <w:p>
            <w:pPr>
              <w:widowControl/>
              <w:kinsoku w:val="0"/>
              <w:autoSpaceDE w:val="0"/>
              <w:autoSpaceDN w:val="0"/>
              <w:adjustRightInd w:val="0"/>
              <w:snapToGrid w:val="0"/>
              <w:spacing w:before="85" w:line="228" w:lineRule="auto"/>
              <w:jc w:val="left"/>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层数</w:t>
            </w:r>
          </w:p>
        </w:tc>
        <w:tc>
          <w:tcPr>
            <w:tcW w:w="849"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建筑面积(m2)</w:t>
            </w:r>
          </w:p>
        </w:tc>
        <w:tc>
          <w:tcPr>
            <w:tcW w:w="598" w:type="dxa"/>
          </w:tcPr>
          <w:p>
            <w:pPr>
              <w:widowControl/>
              <w:kinsoku w:val="0"/>
              <w:autoSpaceDE w:val="0"/>
              <w:autoSpaceDN w:val="0"/>
              <w:adjustRightInd w:val="0"/>
              <w:snapToGrid w:val="0"/>
              <w:spacing w:before="85" w:line="228" w:lineRule="auto"/>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耐火</w:t>
            </w:r>
          </w:p>
          <w:p>
            <w:pPr>
              <w:widowControl/>
              <w:spacing w:line="320" w:lineRule="exact"/>
              <w:jc w:val="center"/>
              <w:rPr>
                <w:rFonts w:hint="eastAsia" w:ascii="宋体" w:hAnsi="宋体" w:eastAsia="宋体" w:cs="宋体"/>
                <w:b/>
                <w:bCs/>
                <w:kern w:val="0"/>
                <w:sz w:val="18"/>
                <w:szCs w:val="18"/>
              </w:rPr>
            </w:pPr>
            <w:r>
              <w:rPr>
                <w:rFonts w:hint="eastAsia" w:ascii="宋体" w:hAnsi="宋体" w:eastAsia="宋体" w:cs="宋体"/>
                <w:b/>
                <w:bCs/>
                <w:snapToGrid w:val="0"/>
                <w:spacing w:val="6"/>
                <w:kern w:val="0"/>
                <w:sz w:val="20"/>
                <w:szCs w:val="20"/>
              </w:rPr>
              <w:t>等级</w:t>
            </w:r>
          </w:p>
        </w:tc>
        <w:tc>
          <w:tcPr>
            <w:tcW w:w="836"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最低允许耐火等级</w:t>
            </w:r>
          </w:p>
        </w:tc>
        <w:tc>
          <w:tcPr>
            <w:tcW w:w="1163"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最多允许层数</w:t>
            </w:r>
          </w:p>
        </w:tc>
        <w:tc>
          <w:tcPr>
            <w:tcW w:w="1351" w:type="dxa"/>
          </w:tcPr>
          <w:p>
            <w:pPr>
              <w:widowControl/>
              <w:kinsoku w:val="0"/>
              <w:autoSpaceDE w:val="0"/>
              <w:autoSpaceDN w:val="0"/>
              <w:adjustRightInd w:val="0"/>
              <w:snapToGrid w:val="0"/>
              <w:spacing w:before="85" w:line="228" w:lineRule="auto"/>
              <w:ind w:left="114"/>
              <w:jc w:val="center"/>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多层厂房每个防火分区的最大允许建筑面积</w:t>
            </w:r>
          </w:p>
        </w:tc>
        <w:tc>
          <w:tcPr>
            <w:tcW w:w="953" w:type="dxa"/>
          </w:tcPr>
          <w:p>
            <w:pPr>
              <w:widowControl/>
              <w:kinsoku w:val="0"/>
              <w:autoSpaceDE w:val="0"/>
              <w:autoSpaceDN w:val="0"/>
              <w:adjustRightInd w:val="0"/>
              <w:snapToGrid w:val="0"/>
              <w:spacing w:before="85" w:line="228" w:lineRule="auto"/>
              <w:ind w:left="114"/>
              <w:textAlignment w:val="baseline"/>
              <w:rPr>
                <w:rFonts w:hint="eastAsia" w:ascii="宋体" w:hAnsi="宋体" w:eastAsia="宋体" w:cs="宋体"/>
                <w:b/>
                <w:bCs/>
                <w:snapToGrid w:val="0"/>
                <w:spacing w:val="6"/>
                <w:kern w:val="0"/>
                <w:sz w:val="20"/>
                <w:szCs w:val="20"/>
              </w:rPr>
            </w:pPr>
            <w:r>
              <w:rPr>
                <w:rFonts w:hint="eastAsia" w:ascii="宋体" w:hAnsi="宋体" w:eastAsia="宋体" w:cs="宋体"/>
                <w:b/>
                <w:bCs/>
                <w:snapToGrid w:val="0"/>
                <w:spacing w:val="6"/>
                <w:kern w:val="0"/>
                <w:sz w:val="20"/>
                <w:szCs w:val="20"/>
              </w:rPr>
              <w:t>实际分区面积</w:t>
            </w:r>
          </w:p>
        </w:tc>
        <w:tc>
          <w:tcPr>
            <w:tcW w:w="875" w:type="dxa"/>
            <w:vMerge w:val="continue"/>
          </w:tcPr>
          <w:p>
            <w:pPr>
              <w:widowControl/>
              <w:spacing w:line="320" w:lineRule="exact"/>
              <w:jc w:val="center"/>
              <w:rPr>
                <w:rFonts w:hint="eastAsia" w:ascii="宋体" w:hAnsi="宋体" w:eastAsia="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71"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外延芯片厂房</w:t>
            </w:r>
          </w:p>
        </w:tc>
        <w:tc>
          <w:tcPr>
            <w:tcW w:w="434"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丙类</w:t>
            </w:r>
          </w:p>
        </w:tc>
        <w:tc>
          <w:tcPr>
            <w:tcW w:w="1020"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框架结构</w:t>
            </w:r>
          </w:p>
        </w:tc>
        <w:tc>
          <w:tcPr>
            <w:tcW w:w="368"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2</w:t>
            </w:r>
          </w:p>
        </w:tc>
        <w:tc>
          <w:tcPr>
            <w:tcW w:w="849"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39088.22</w:t>
            </w:r>
          </w:p>
        </w:tc>
        <w:tc>
          <w:tcPr>
            <w:tcW w:w="598"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一</w:t>
            </w:r>
          </w:p>
        </w:tc>
        <w:tc>
          <w:tcPr>
            <w:tcW w:w="836"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三</w:t>
            </w:r>
          </w:p>
        </w:tc>
        <w:tc>
          <w:tcPr>
            <w:tcW w:w="1163"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不限</w:t>
            </w:r>
          </w:p>
        </w:tc>
        <w:tc>
          <w:tcPr>
            <w:tcW w:w="1351"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12000</w:t>
            </w:r>
          </w:p>
        </w:tc>
        <w:tc>
          <w:tcPr>
            <w:tcW w:w="953"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11892</w:t>
            </w:r>
          </w:p>
        </w:tc>
        <w:tc>
          <w:tcPr>
            <w:tcW w:w="875" w:type="dxa"/>
            <w:vAlign w:val="center"/>
          </w:tcPr>
          <w:p>
            <w:pPr>
              <w:widowControl/>
              <w:kinsoku w:val="0"/>
              <w:autoSpaceDE w:val="0"/>
              <w:autoSpaceDN w:val="0"/>
              <w:adjustRightInd w:val="0"/>
              <w:snapToGrid w:val="0"/>
              <w:spacing w:before="93" w:line="227" w:lineRule="auto"/>
              <w:jc w:val="center"/>
              <w:textAlignment w:val="baseline"/>
              <w:rPr>
                <w:rFonts w:hint="eastAsia" w:ascii="宋体" w:hAnsi="宋体" w:eastAsia="宋体" w:cs="宋体"/>
                <w:snapToGrid w:val="0"/>
                <w:spacing w:val="7"/>
                <w:kern w:val="0"/>
                <w:sz w:val="21"/>
                <w:szCs w:val="21"/>
              </w:rPr>
            </w:pPr>
            <w:r>
              <w:rPr>
                <w:rFonts w:hint="eastAsia" w:ascii="宋体" w:hAnsi="宋体" w:eastAsia="宋体" w:cs="宋体"/>
                <w:snapToGrid w:val="0"/>
                <w:spacing w:val="7"/>
                <w:kern w:val="0"/>
                <w:sz w:val="21"/>
                <w:szCs w:val="21"/>
              </w:rPr>
              <w:t>符合</w:t>
            </w:r>
          </w:p>
        </w:tc>
      </w:tr>
    </w:tbl>
    <w:p>
      <w:pPr>
        <w:pageBreakBefore w:val="0"/>
        <w:kinsoku/>
        <w:wordWrap/>
        <w:overflowPunct/>
        <w:topLinePunct w:val="0"/>
        <w:autoSpaceDE/>
        <w:autoSpaceDN/>
        <w:bidi w:val="0"/>
        <w:adjustRightInd w:val="0"/>
        <w:snapToGrid w:val="0"/>
        <w:spacing w:line="600" w:lineRule="exact"/>
        <w:textAlignment w:val="auto"/>
        <w:rPr>
          <w:rFonts w:hint="eastAsia" w:ascii="宋体" w:hAnsi="宋体" w:eastAsia="宋体" w:cs="宋体"/>
          <w:szCs w:val="28"/>
        </w:rPr>
      </w:pPr>
      <w:r>
        <w:rPr>
          <w:rFonts w:hint="eastAsia" w:ascii="宋体" w:hAnsi="宋体" w:eastAsia="宋体" w:cs="宋体"/>
          <w:sz w:val="24"/>
        </w:rPr>
        <w:t>备注：外延芯片厂房1-2F设自动灭火系统，分区面积翻倍，顶层（氨回收装置）为一个防火分区，建筑面积约为560m</w:t>
      </w:r>
      <w:r>
        <w:rPr>
          <w:rFonts w:hint="eastAsia" w:ascii="宋体" w:hAnsi="宋体" w:eastAsia="宋体" w:cs="宋体"/>
          <w:sz w:val="24"/>
          <w:vertAlign w:val="superscript"/>
        </w:rPr>
        <w:t>2</w:t>
      </w:r>
      <w:r>
        <w:rPr>
          <w:rFonts w:hint="eastAsia" w:ascii="宋体" w:hAnsi="宋体" w:eastAsia="宋体" w:cs="宋体"/>
          <w:sz w:val="24"/>
        </w:rPr>
        <w:t>。</w:t>
      </w:r>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567" w:name="_Toc26440"/>
      <w:r>
        <w:rPr>
          <w:rFonts w:hint="eastAsia" w:ascii="宋体" w:hAnsi="宋体" w:eastAsia="宋体" w:cs="宋体"/>
          <w:sz w:val="30"/>
          <w:szCs w:val="30"/>
        </w:rPr>
        <w:t>7.5安全管理评</w:t>
      </w:r>
      <w:bookmarkEnd w:id="544"/>
      <w:bookmarkEnd w:id="545"/>
      <w:bookmarkEnd w:id="546"/>
      <w:bookmarkEnd w:id="547"/>
      <w:bookmarkEnd w:id="548"/>
      <w:bookmarkEnd w:id="549"/>
      <w:bookmarkEnd w:id="550"/>
      <w:bookmarkEnd w:id="551"/>
      <w:bookmarkEnd w:id="552"/>
      <w:bookmarkEnd w:id="553"/>
      <w:bookmarkStart w:id="568" w:name="_Toc111106215"/>
      <w:bookmarkStart w:id="569" w:name="_Toc166919833"/>
      <w:bookmarkStart w:id="570" w:name="_Toc341993548"/>
      <w:bookmarkStart w:id="571" w:name="_Toc115317592"/>
      <w:bookmarkStart w:id="572" w:name="_Toc199581537"/>
      <w:bookmarkStart w:id="573" w:name="_Toc227672684"/>
      <w:bookmarkStart w:id="574" w:name="_Toc213219148"/>
      <w:bookmarkStart w:id="575" w:name="_Toc213219703"/>
      <w:bookmarkStart w:id="576" w:name="_Toc213219784"/>
      <w:bookmarkStart w:id="577" w:name="_Toc145841663"/>
      <w:bookmarkStart w:id="578" w:name="_Toc97050212"/>
      <w:bookmarkStart w:id="579" w:name="_Toc97055767"/>
      <w:bookmarkStart w:id="580" w:name="_Toc213219620"/>
      <w:r>
        <w:rPr>
          <w:rFonts w:hint="eastAsia" w:ascii="宋体" w:hAnsi="宋体" w:eastAsia="宋体" w:cs="宋体"/>
          <w:sz w:val="30"/>
          <w:szCs w:val="30"/>
        </w:rPr>
        <w:t>价</w:t>
      </w:r>
      <w:bookmarkEnd w:id="562"/>
      <w:bookmarkEnd w:id="563"/>
      <w:bookmarkEnd w:id="564"/>
      <w:bookmarkEnd w:id="565"/>
      <w:bookmarkEnd w:id="566"/>
      <w:bookmarkEnd w:id="567"/>
    </w:p>
    <w:bookmarkEnd w:id="568"/>
    <w:bookmarkEnd w:id="569"/>
    <w:bookmarkEnd w:id="570"/>
    <w:bookmarkEnd w:id="571"/>
    <w:bookmarkEnd w:id="572"/>
    <w:bookmarkEnd w:id="573"/>
    <w:bookmarkEnd w:id="574"/>
    <w:bookmarkEnd w:id="575"/>
    <w:bookmarkEnd w:id="576"/>
    <w:bookmarkEnd w:id="577"/>
    <w:bookmarkEnd w:id="578"/>
    <w:bookmarkEnd w:id="579"/>
    <w:bookmarkEnd w:id="580"/>
    <w:p>
      <w:pPr>
        <w:pageBreakBefore w:val="0"/>
        <w:kinsoku/>
        <w:wordWrap/>
        <w:overflowPunct/>
        <w:topLinePunct w:val="0"/>
        <w:autoSpaceDE/>
        <w:autoSpaceDN/>
        <w:bidi w:val="0"/>
        <w:spacing w:line="600" w:lineRule="exact"/>
        <w:jc w:val="center"/>
        <w:textAlignment w:val="auto"/>
        <w:rPr>
          <w:rFonts w:hint="eastAsia" w:ascii="宋体" w:hAnsi="宋体" w:eastAsia="宋体" w:cs="宋体"/>
          <w:b/>
          <w:szCs w:val="28"/>
        </w:rPr>
      </w:pPr>
      <w:r>
        <w:rPr>
          <w:rFonts w:hint="eastAsia" w:ascii="宋体" w:hAnsi="宋体" w:eastAsia="宋体" w:cs="宋体"/>
          <w:b/>
          <w:szCs w:val="28"/>
        </w:rPr>
        <w:t>表7.5-1安全管理检查表</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533"/>
        <w:gridCol w:w="1979"/>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before="156" w:beforeLines="50" w:after="156" w:afterLines="50" w:line="300" w:lineRule="exact"/>
              <w:jc w:val="center"/>
              <w:rPr>
                <w:rFonts w:hint="eastAsia" w:ascii="宋体" w:hAnsi="宋体" w:eastAsia="宋体" w:cs="宋体"/>
                <w:b/>
                <w:bCs/>
                <w:sz w:val="21"/>
                <w:szCs w:val="21"/>
              </w:rPr>
            </w:pPr>
            <w:bookmarkStart w:id="581" w:name="_Toc166919856"/>
            <w:bookmarkStart w:id="582" w:name="_Toc227672694"/>
            <w:bookmarkStart w:id="583" w:name="_Toc97050227"/>
            <w:bookmarkStart w:id="584" w:name="_Toc145841677"/>
            <w:bookmarkStart w:id="585" w:name="_Toc213219630"/>
            <w:bookmarkStart w:id="586" w:name="_Toc213219794"/>
            <w:bookmarkStart w:id="587" w:name="_Toc111106241"/>
            <w:bookmarkStart w:id="588" w:name="_Toc213219155"/>
            <w:bookmarkStart w:id="589" w:name="_Toc199581547"/>
            <w:bookmarkStart w:id="590" w:name="_Toc97055771"/>
            <w:bookmarkStart w:id="591" w:name="_Toc115317619"/>
            <w:bookmarkStart w:id="592" w:name="_Toc213219713"/>
            <w:bookmarkStart w:id="593" w:name="_Toc341993553"/>
            <w:r>
              <w:rPr>
                <w:rFonts w:hint="eastAsia" w:ascii="宋体" w:hAnsi="宋体" w:eastAsia="宋体" w:cs="宋体"/>
                <w:b/>
                <w:bCs/>
                <w:sz w:val="21"/>
                <w:szCs w:val="21"/>
              </w:rPr>
              <w:t>项目</w:t>
            </w:r>
          </w:p>
        </w:tc>
        <w:tc>
          <w:tcPr>
            <w:tcW w:w="2980" w:type="pct"/>
            <w:vAlign w:val="center"/>
          </w:tcPr>
          <w:p>
            <w:pPr>
              <w:adjustRightInd w:val="0"/>
              <w:snapToGrid w:val="0"/>
              <w:spacing w:before="156" w:beforeLines="50" w:after="156" w:afterLines="50" w:line="30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检查内容及条款</w:t>
            </w:r>
          </w:p>
        </w:tc>
        <w:tc>
          <w:tcPr>
            <w:tcW w:w="1066" w:type="pct"/>
            <w:vAlign w:val="center"/>
          </w:tcPr>
          <w:p>
            <w:pPr>
              <w:adjustRightInd w:val="0"/>
              <w:snapToGrid w:val="0"/>
              <w:spacing w:before="156" w:beforeLines="50" w:after="156" w:afterLines="50" w:line="300" w:lineRule="exact"/>
              <w:jc w:val="center"/>
              <w:rPr>
                <w:rFonts w:hint="eastAsia" w:ascii="宋体" w:hAnsi="宋体" w:eastAsia="宋体" w:cs="宋体"/>
                <w:b/>
                <w:bCs/>
                <w:sz w:val="21"/>
                <w:szCs w:val="21"/>
              </w:rPr>
            </w:pPr>
            <w:r>
              <w:rPr>
                <w:rFonts w:hint="eastAsia" w:ascii="宋体" w:hAnsi="宋体" w:eastAsia="宋体" w:cs="宋体"/>
                <w:b/>
                <w:bCs/>
                <w:sz w:val="21"/>
                <w:szCs w:val="21"/>
              </w:rPr>
              <w:t>检查结果</w:t>
            </w:r>
          </w:p>
        </w:tc>
        <w:tc>
          <w:tcPr>
            <w:tcW w:w="512" w:type="pct"/>
            <w:vAlign w:val="center"/>
          </w:tcPr>
          <w:p>
            <w:pPr>
              <w:adjustRightInd w:val="0"/>
              <w:snapToGrid w:val="0"/>
              <w:spacing w:before="156" w:beforeLines="50" w:after="156" w:afterLines="50" w:line="300" w:lineRule="exact"/>
              <w:jc w:val="center"/>
              <w:rPr>
                <w:rFonts w:hint="eastAsia" w:ascii="宋体" w:hAnsi="宋体" w:eastAsia="宋体" w:cs="宋体"/>
                <w:b/>
                <w:bCs/>
                <w:sz w:val="21"/>
                <w:szCs w:val="21"/>
              </w:rPr>
            </w:pPr>
            <w:r>
              <w:rPr>
                <w:rFonts w:hint="eastAsia" w:ascii="宋体" w:hAnsi="宋体" w:eastAsia="宋体" w:cs="宋体"/>
                <w:b/>
                <w:bCs/>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tcBorders>
              <w:bottom w:val="nil"/>
            </w:tcBorders>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b/>
                <w:sz w:val="21"/>
                <w:szCs w:val="21"/>
              </w:rPr>
              <w:t>一、安全管理组织机构和人员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危险物品的生产、经营、储存单位应设置安全生产管理机构或配备专职安全生产管理人员</w:t>
            </w:r>
          </w:p>
        </w:tc>
        <w:tc>
          <w:tcPr>
            <w:tcW w:w="1066" w:type="pct"/>
            <w:vMerge w:val="restar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有安全小组和专职安全管理人员</w:t>
            </w:r>
          </w:p>
        </w:tc>
        <w:tc>
          <w:tcPr>
            <w:tcW w:w="512" w:type="pct"/>
            <w:vMerge w:val="restar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危险化学品经营单位应有安全管理机构或配备专职安全管理人员；</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b/>
                <w:sz w:val="21"/>
                <w:szCs w:val="21"/>
              </w:rPr>
              <w:t>二、安全管理制度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建立各级人员的安全责任制。企业法人是安全生产第一责任人，对本企业的安全生产负全面管理的法定责任；其他各级人员在各自范围内对安全负责</w:t>
            </w:r>
          </w:p>
        </w:tc>
        <w:tc>
          <w:tcPr>
            <w:tcW w:w="1066" w:type="pct"/>
            <w:vAlign w:val="center"/>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建立了各级人员的安全责任制</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安全生产责任制度</w:t>
            </w:r>
          </w:p>
        </w:tc>
        <w:tc>
          <w:tcPr>
            <w:tcW w:w="1066" w:type="pct"/>
            <w:vMerge w:val="restart"/>
            <w:vAlign w:val="center"/>
          </w:tcPr>
          <w:p>
            <w:pPr>
              <w:adjustRightInd w:val="0"/>
              <w:snapToGrid w:val="0"/>
              <w:spacing w:line="300" w:lineRule="exact"/>
              <w:jc w:val="left"/>
              <w:rPr>
                <w:rFonts w:hint="eastAsia" w:ascii="宋体" w:hAnsi="宋体" w:eastAsia="宋体" w:cs="宋体"/>
                <w:sz w:val="21"/>
                <w:szCs w:val="21"/>
              </w:rPr>
            </w:pPr>
            <w:r>
              <w:rPr>
                <w:rFonts w:hint="eastAsia" w:ascii="宋体" w:hAnsi="宋体" w:eastAsia="宋体" w:cs="宋体"/>
                <w:sz w:val="21"/>
                <w:szCs w:val="21"/>
              </w:rPr>
              <w:t>有相应的安全管理制度</w:t>
            </w:r>
          </w:p>
        </w:tc>
        <w:tc>
          <w:tcPr>
            <w:tcW w:w="512" w:type="pct"/>
            <w:vMerge w:val="restar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安全教育、培训制度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安全作业证制度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安全检查和隐患整改制度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安全检修制度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防火、防爆制度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8</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危险化学品安全管理制度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9</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安全装置管理制度</w:t>
            </w:r>
          </w:p>
        </w:tc>
        <w:tc>
          <w:tcPr>
            <w:tcW w:w="1066" w:type="pct"/>
            <w:vMerge w:val="continue"/>
            <w:vAlign w:val="center"/>
          </w:tcPr>
          <w:p>
            <w:pPr>
              <w:adjustRightInd w:val="0"/>
              <w:snapToGrid w:val="0"/>
              <w:spacing w:line="300" w:lineRule="exact"/>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10</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安全费用投入保障制度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劳动防护用具（品）和保健品发放管理制度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事故管理制度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仓库安全管理制度</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b/>
                <w:sz w:val="21"/>
                <w:szCs w:val="21"/>
              </w:rPr>
              <w:t>三、操作规程建立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根据产品工艺规程、安全技术规程的要求，编制各岗位安全操作法或规程</w:t>
            </w:r>
          </w:p>
        </w:tc>
        <w:tc>
          <w:tcPr>
            <w:tcW w:w="1066" w:type="pct"/>
            <w:vAlign w:val="center"/>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已编制各岗位安全操作规程</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b/>
                <w:sz w:val="21"/>
                <w:szCs w:val="21"/>
              </w:rPr>
              <w:t>四、安全生产投入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安全培训教育所需费用</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已投入培训费用</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劳动防护用品及保健品的经费</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有劳动防护用品</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安全设施、安全连锁、报警装置、安全通讯设施、防触电设施、防噪声、粉尘设施、防灼伤冲淋设施、员工洗浴、休息设施等设备投入和维护、保养及作业场所职业危害防治措施的资金投入</w:t>
            </w:r>
          </w:p>
        </w:tc>
        <w:tc>
          <w:tcPr>
            <w:tcW w:w="1066" w:type="pct"/>
            <w:vAlign w:val="center"/>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有相应的防治措施</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tabs>
                <w:tab w:val="left" w:pos="495"/>
              </w:tabs>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2980" w:type="pct"/>
            <w:vAlign w:val="center"/>
          </w:tcPr>
          <w:p>
            <w:pPr>
              <w:adjustRightInd w:val="0"/>
              <w:snapToGrid w:val="0"/>
              <w:spacing w:line="300" w:lineRule="exact"/>
              <w:jc w:val="left"/>
              <w:rPr>
                <w:rFonts w:hint="eastAsia" w:ascii="宋体" w:hAnsi="宋体" w:eastAsia="宋体" w:cs="宋体"/>
                <w:sz w:val="21"/>
                <w:szCs w:val="21"/>
              </w:rPr>
            </w:pPr>
            <w:r>
              <w:rPr>
                <w:rFonts w:hint="eastAsia" w:ascii="宋体" w:hAnsi="宋体" w:eastAsia="宋体" w:cs="宋体"/>
                <w:sz w:val="21"/>
                <w:szCs w:val="21"/>
              </w:rPr>
              <w:t>重大隐患治理所需费用的保证</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制定了安全投入费用管理制度，能予以保证</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tabs>
                <w:tab w:val="left" w:pos="495"/>
              </w:tabs>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工伤社会保险</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已为员工购买了工伤保险</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vAlign w:val="center"/>
          </w:tcPr>
          <w:p>
            <w:pPr>
              <w:adjustRightInd w:val="0"/>
              <w:snapToGrid w:val="0"/>
              <w:spacing w:line="300" w:lineRule="exact"/>
              <w:jc w:val="center"/>
              <w:rPr>
                <w:rFonts w:hint="eastAsia" w:ascii="宋体" w:hAnsi="宋体" w:eastAsia="宋体" w:cs="宋体"/>
                <w:b/>
                <w:sz w:val="21"/>
                <w:szCs w:val="21"/>
              </w:rPr>
            </w:pPr>
            <w:r>
              <w:rPr>
                <w:rFonts w:hint="eastAsia" w:ascii="宋体" w:hAnsi="宋体" w:eastAsia="宋体" w:cs="宋体"/>
                <w:b/>
                <w:sz w:val="21"/>
                <w:szCs w:val="21"/>
              </w:rPr>
              <w:t>五、教育培训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vAlign w:val="center"/>
          </w:tcPr>
          <w:p>
            <w:pPr>
              <w:pStyle w:val="69"/>
              <w:widowControl w:val="0"/>
              <w:pBdr>
                <w:bottom w:val="none" w:color="auto" w:sz="0" w:space="0"/>
                <w:right w:val="none" w:color="auto" w:sz="0" w:space="0"/>
              </w:pBdr>
              <w:adjustRightInd w:val="0"/>
              <w:snapToGrid w:val="0"/>
              <w:spacing w:before="0" w:after="0" w:line="300" w:lineRule="exact"/>
              <w:rPr>
                <w:rFonts w:hint="eastAsia" w:ascii="宋体" w:hAnsi="宋体" w:eastAsia="宋体" w:cs="宋体"/>
                <w:kern w:val="2"/>
                <w:sz w:val="21"/>
                <w:szCs w:val="21"/>
              </w:rPr>
            </w:pPr>
            <w:r>
              <w:rPr>
                <w:rFonts w:hint="eastAsia" w:ascii="宋体" w:hAnsi="宋体" w:eastAsia="宋体" w:cs="宋体"/>
                <w:kern w:val="2"/>
                <w:sz w:val="21"/>
                <w:szCs w:val="21"/>
              </w:rPr>
              <w:t>主要负责人和安全管理人员必须具备与本单位所从事生产经营活动相应安全生产知识和管理能力</w:t>
            </w:r>
          </w:p>
        </w:tc>
        <w:tc>
          <w:tcPr>
            <w:tcW w:w="1066" w:type="pct"/>
            <w:vAlign w:val="center"/>
          </w:tcPr>
          <w:p>
            <w:pPr>
              <w:pStyle w:val="69"/>
              <w:widowControl w:val="0"/>
              <w:pBdr>
                <w:bottom w:val="none" w:color="auto" w:sz="0" w:space="0"/>
                <w:right w:val="none" w:color="auto" w:sz="0" w:space="0"/>
              </w:pBdr>
              <w:adjustRightInd w:val="0"/>
              <w:snapToGrid w:val="0"/>
              <w:spacing w:before="0" w:after="0" w:line="300" w:lineRule="exact"/>
              <w:rPr>
                <w:rFonts w:hint="eastAsia" w:ascii="宋体" w:hAnsi="宋体" w:eastAsia="宋体" w:cs="宋体"/>
                <w:kern w:val="2"/>
                <w:sz w:val="21"/>
                <w:szCs w:val="21"/>
              </w:rPr>
            </w:pPr>
            <w:r>
              <w:rPr>
                <w:rFonts w:hint="eastAsia" w:ascii="宋体" w:hAnsi="宋体" w:eastAsia="宋体" w:cs="宋体"/>
                <w:kern w:val="2"/>
                <w:sz w:val="21"/>
                <w:szCs w:val="21"/>
              </w:rPr>
              <w:t>主要负责人、安全管理人员已取证</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特种作业人员经专门安全作业培训，取得特种作业操作资格证书</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已取证</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生产经营单位应当对从业人员进行安全生产教育和培训；新进人员、转岗和复工人员经三级安全教育和专业培训</w:t>
            </w:r>
          </w:p>
        </w:tc>
        <w:tc>
          <w:tcPr>
            <w:tcW w:w="1066" w:type="pct"/>
            <w:vAlign w:val="center"/>
          </w:tcPr>
          <w:p>
            <w:pPr>
              <w:pStyle w:val="66"/>
              <w:snapToGrid w:val="0"/>
              <w:spacing w:line="300" w:lineRule="exact"/>
              <w:rPr>
                <w:rFonts w:hint="eastAsia" w:ascii="宋体" w:hAnsi="宋体" w:eastAsia="宋体" w:cs="宋体"/>
                <w:kern w:val="2"/>
                <w:sz w:val="21"/>
                <w:szCs w:val="21"/>
              </w:rPr>
            </w:pPr>
            <w:r>
              <w:rPr>
                <w:rFonts w:hint="eastAsia" w:ascii="宋体" w:hAnsi="宋体" w:eastAsia="宋体" w:cs="宋体"/>
                <w:kern w:val="2"/>
                <w:sz w:val="21"/>
                <w:szCs w:val="21"/>
              </w:rPr>
              <w:t>是</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安全生产教育培训制度、档案建立</w:t>
            </w:r>
          </w:p>
        </w:tc>
        <w:tc>
          <w:tcPr>
            <w:tcW w:w="1066"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是</w:t>
            </w:r>
          </w:p>
        </w:tc>
        <w:tc>
          <w:tcPr>
            <w:tcW w:w="512"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5000" w:type="pct"/>
            <w:gridSpan w:val="4"/>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b/>
                <w:sz w:val="21"/>
                <w:szCs w:val="21"/>
              </w:rPr>
              <w:t>六、事故应急救援预案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基本情况</w:t>
            </w:r>
          </w:p>
        </w:tc>
        <w:tc>
          <w:tcPr>
            <w:tcW w:w="1066" w:type="pct"/>
            <w:vMerge w:val="restar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制定有相关事故应急救援预案并备案</w:t>
            </w:r>
          </w:p>
        </w:tc>
        <w:tc>
          <w:tcPr>
            <w:tcW w:w="512" w:type="pct"/>
            <w:vMerge w:val="restar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危险目标及危险特性</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危险目标周围可利用的安全、消防、个体防护的设备、器材及分布</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应急救援组织机构、组成人员和职责划分</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5</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报警、通讯联络方式</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事故发生后应采取的处理措施</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7</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人员紧急疏散、撤离</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8</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危险区的隔离</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9</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检测、抢险、救援及控制措施</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10</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受伤人员现场救护、救治与医院救治</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11</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现场保护与现场洗消</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12</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应急救援保障（内部、外部）</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13</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预案分级响应条件</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14</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事故应急救援终止程序</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15</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应急培训计划</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16</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演练计划</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440" w:type="pct"/>
            <w:vAlign w:val="center"/>
          </w:tcPr>
          <w:p>
            <w:pPr>
              <w:adjustRightInd w:val="0"/>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17</w:t>
            </w:r>
          </w:p>
        </w:tc>
        <w:tc>
          <w:tcPr>
            <w:tcW w:w="2980" w:type="pct"/>
          </w:tcPr>
          <w:p>
            <w:pPr>
              <w:adjustRightInd w:val="0"/>
              <w:snapToGrid w:val="0"/>
              <w:spacing w:line="300" w:lineRule="exact"/>
              <w:rPr>
                <w:rFonts w:hint="eastAsia" w:ascii="宋体" w:hAnsi="宋体" w:eastAsia="宋体" w:cs="宋体"/>
                <w:sz w:val="21"/>
                <w:szCs w:val="21"/>
              </w:rPr>
            </w:pPr>
            <w:r>
              <w:rPr>
                <w:rFonts w:hint="eastAsia" w:ascii="宋体" w:hAnsi="宋体" w:eastAsia="宋体" w:cs="宋体"/>
                <w:sz w:val="21"/>
                <w:szCs w:val="21"/>
              </w:rPr>
              <w:t>附件（组织机构名单、指挥层次示意图；联系电话；平面布置图；消防设施配置图；周边区域道路交通示意图和疏散路线；周边单位、社区、供水供电单位联系等）</w:t>
            </w:r>
          </w:p>
        </w:tc>
        <w:tc>
          <w:tcPr>
            <w:tcW w:w="1066" w:type="pct"/>
            <w:vMerge w:val="continue"/>
            <w:vAlign w:val="center"/>
          </w:tcPr>
          <w:p>
            <w:pPr>
              <w:adjustRightInd w:val="0"/>
              <w:snapToGrid w:val="0"/>
              <w:spacing w:line="300" w:lineRule="exact"/>
              <w:jc w:val="center"/>
              <w:rPr>
                <w:rFonts w:hint="eastAsia" w:ascii="宋体" w:hAnsi="宋体" w:eastAsia="宋体" w:cs="宋体"/>
                <w:sz w:val="21"/>
                <w:szCs w:val="21"/>
              </w:rPr>
            </w:pPr>
          </w:p>
        </w:tc>
        <w:tc>
          <w:tcPr>
            <w:tcW w:w="512" w:type="pct"/>
            <w:vMerge w:val="continue"/>
            <w:vAlign w:val="center"/>
          </w:tcPr>
          <w:p>
            <w:pPr>
              <w:adjustRightInd w:val="0"/>
              <w:snapToGrid w:val="0"/>
              <w:spacing w:line="300" w:lineRule="exact"/>
              <w:jc w:val="center"/>
              <w:rPr>
                <w:rFonts w:hint="eastAsia" w:ascii="宋体" w:hAnsi="宋体" w:eastAsia="宋体" w:cs="宋体"/>
                <w:sz w:val="21"/>
                <w:szCs w:val="21"/>
              </w:rPr>
            </w:pPr>
          </w:p>
        </w:tc>
      </w:tr>
    </w:tbl>
    <w:p>
      <w:pPr>
        <w:adjustRightInd w:val="0"/>
        <w:snapToGrid w:val="0"/>
        <w:spacing w:line="600" w:lineRule="exact"/>
        <w:ind w:firstLine="537" w:firstLineChars="192"/>
        <w:rPr>
          <w:rFonts w:hint="eastAsia" w:ascii="宋体" w:hAnsi="宋体" w:eastAsia="宋体" w:cs="宋体"/>
          <w:szCs w:val="28"/>
        </w:rPr>
      </w:pPr>
      <w:r>
        <w:rPr>
          <w:rFonts w:hint="eastAsia" w:ascii="宋体" w:hAnsi="宋体" w:eastAsia="宋体" w:cs="宋体"/>
          <w:szCs w:val="28"/>
        </w:rPr>
        <w:t>经检查，该企业有健全的安全管理组织机构，安全管理制度和事故应急救援预案基本完善。</w:t>
      </w:r>
    </w:p>
    <w:bookmarkEnd w:id="581"/>
    <w:bookmarkEnd w:id="582"/>
    <w:bookmarkEnd w:id="583"/>
    <w:bookmarkEnd w:id="584"/>
    <w:bookmarkEnd w:id="585"/>
    <w:bookmarkEnd w:id="586"/>
    <w:bookmarkEnd w:id="587"/>
    <w:bookmarkEnd w:id="588"/>
    <w:bookmarkEnd w:id="589"/>
    <w:bookmarkEnd w:id="590"/>
    <w:bookmarkEnd w:id="591"/>
    <w:bookmarkEnd w:id="592"/>
    <w:bookmarkEnd w:id="593"/>
    <w:p>
      <w:pPr>
        <w:spacing w:line="600" w:lineRule="exact"/>
        <w:rPr>
          <w:rFonts w:hint="eastAsia" w:ascii="宋体" w:hAnsi="宋体" w:eastAsia="宋体" w:cs="宋体"/>
          <w:b/>
          <w:bCs/>
          <w:sz w:val="32"/>
          <w:szCs w:val="32"/>
        </w:rPr>
      </w:pPr>
      <w:bookmarkStart w:id="594" w:name="_Toc8284"/>
      <w:bookmarkStart w:id="595" w:name="_Toc14518"/>
      <w:bookmarkStart w:id="596" w:name="_Toc486427824"/>
      <w:bookmarkStart w:id="597" w:name="_Toc6350"/>
      <w:bookmarkStart w:id="598" w:name="_Toc15016"/>
      <w:bookmarkStart w:id="599" w:name="_Toc20691"/>
      <w:r>
        <w:rPr>
          <w:rFonts w:hint="eastAsia" w:ascii="宋体" w:hAnsi="宋体" w:eastAsia="宋体" w:cs="宋体"/>
          <w:b/>
          <w:bCs/>
          <w:sz w:val="32"/>
          <w:szCs w:val="32"/>
        </w:rPr>
        <w:br w:type="page"/>
      </w:r>
    </w:p>
    <w:p>
      <w:pPr>
        <w:pageBreakBefore w:val="0"/>
        <w:kinsoku/>
        <w:wordWrap/>
        <w:overflowPunct/>
        <w:topLinePunct w:val="0"/>
        <w:autoSpaceDE/>
        <w:autoSpaceDN/>
        <w:bidi w:val="0"/>
        <w:spacing w:line="600" w:lineRule="exact"/>
        <w:jc w:val="center"/>
        <w:textAlignment w:val="auto"/>
        <w:outlineLvl w:val="0"/>
        <w:rPr>
          <w:rFonts w:hint="eastAsia" w:ascii="宋体" w:hAnsi="宋体" w:eastAsia="宋体" w:cs="宋体"/>
          <w:b/>
          <w:bCs/>
          <w:sz w:val="32"/>
          <w:szCs w:val="32"/>
        </w:rPr>
      </w:pPr>
      <w:bookmarkStart w:id="600" w:name="_Toc16300"/>
      <w:r>
        <w:rPr>
          <w:rFonts w:hint="eastAsia" w:ascii="宋体" w:hAnsi="宋体" w:eastAsia="宋体" w:cs="宋体"/>
          <w:b/>
          <w:bCs/>
          <w:sz w:val="32"/>
          <w:szCs w:val="32"/>
        </w:rPr>
        <w:t>8安全对策措施</w:t>
      </w:r>
      <w:bookmarkEnd w:id="594"/>
      <w:bookmarkEnd w:id="600"/>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601" w:name="_Toc17371"/>
      <w:bookmarkStart w:id="602" w:name="_Toc8564"/>
      <w:r>
        <w:rPr>
          <w:rFonts w:hint="eastAsia" w:ascii="宋体" w:hAnsi="宋体" w:eastAsia="宋体" w:cs="宋体"/>
          <w:sz w:val="30"/>
          <w:szCs w:val="30"/>
        </w:rPr>
        <w:t>8.1安全对策措施、建议的依据及原则</w:t>
      </w:r>
      <w:bookmarkEnd w:id="601"/>
      <w:bookmarkEnd w:id="602"/>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1、安全对策措施的依据：</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（1）物料及工艺过程的危险、有害因素的辨识分析；</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（2）符合性评价的结果；</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（3）国家有关安全生产法律、法规、规章、标准、规范。</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2、安全对策措施建议的原则：</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(1)安全技术措施等级顺序：</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a直接安全技术措施；</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b间接安全技术措施；</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c指示性安全技术措施；</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d若间接、指示性安全技术措施仍然不能避免事故，则应采取安全操作规程、安全教育、安全培训和台体防护等措施来预防、减弱系统的危险、危害程度。</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(2）根据安全技术措施等级顺序的要求应遵循的具体原则：</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消除；预防；减弱；隔离；连锁；警告。</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a安全对策措施建议具有针对性、可操作性和经济合理性。</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b对策措施符合国家有关法规、标准及规范的规定。</w:t>
      </w:r>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 xml:space="preserve">c在满足基本安全要求的基础上，对项目重大危险源或重大风险控制提出保障安全运行的对策建议。 </w:t>
      </w:r>
    </w:p>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603" w:name="_Toc10788"/>
      <w:bookmarkStart w:id="604" w:name="_Toc7540"/>
      <w:r>
        <w:rPr>
          <w:rFonts w:hint="eastAsia" w:ascii="宋体" w:hAnsi="宋体" w:eastAsia="宋体" w:cs="宋体"/>
          <w:sz w:val="30"/>
          <w:szCs w:val="30"/>
        </w:rPr>
        <w:t>8.2</w:t>
      </w:r>
      <w:r>
        <w:rPr>
          <w:rFonts w:hint="eastAsia" w:ascii="宋体" w:hAnsi="宋体" w:eastAsia="宋体" w:cs="宋体"/>
          <w:kern w:val="0"/>
          <w:sz w:val="28"/>
          <w:szCs w:val="28"/>
        </w:rPr>
        <w:t>本报告发现现场</w:t>
      </w:r>
      <w:r>
        <w:rPr>
          <w:rFonts w:hint="eastAsia" w:ascii="宋体" w:hAnsi="宋体" w:eastAsia="宋体" w:cs="宋体"/>
          <w:sz w:val="30"/>
          <w:szCs w:val="30"/>
        </w:rPr>
        <w:t>存在的事故隐患及整改</w:t>
      </w:r>
      <w:bookmarkEnd w:id="603"/>
      <w:r>
        <w:rPr>
          <w:rFonts w:hint="eastAsia" w:ascii="宋体" w:hAnsi="宋体" w:eastAsia="宋体" w:cs="宋体"/>
          <w:sz w:val="30"/>
          <w:szCs w:val="30"/>
        </w:rPr>
        <w:t>建议</w:t>
      </w:r>
      <w:bookmarkEnd w:id="604"/>
    </w:p>
    <w:p>
      <w:pPr>
        <w:pageBreakBefore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rPr>
        <w:t>依据有关法规、标准的要求，并结合公司的实际情况，该建项目生产、储存等场所方面还存在部分问题有待整改，因此，本报告针对存在的问题提出相应的对策措施与建议，以进一步提高该公司的安全管理水平。</w:t>
      </w:r>
    </w:p>
    <w:p>
      <w:pPr>
        <w:pageBreakBefore w:val="0"/>
        <w:kinsoku/>
        <w:wordWrap/>
        <w:overflowPunct/>
        <w:topLinePunct w:val="0"/>
        <w:autoSpaceDE/>
        <w:autoSpaceDN/>
        <w:bidi w:val="0"/>
        <w:spacing w:line="600" w:lineRule="exact"/>
        <w:jc w:val="center"/>
        <w:textAlignment w:val="auto"/>
        <w:rPr>
          <w:rFonts w:hint="eastAsia" w:ascii="宋体" w:hAnsi="宋体" w:eastAsia="宋体" w:cs="宋体"/>
        </w:rPr>
      </w:pPr>
      <w:r>
        <w:rPr>
          <w:rFonts w:hint="eastAsia" w:ascii="宋体" w:hAnsi="宋体" w:eastAsia="宋体" w:cs="宋体"/>
        </w:rPr>
        <w:t>表8.2-1 整改意见</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4549"/>
        <w:gridCol w:w="3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kern w:val="0"/>
              </w:rPr>
              <w:t>序号</w:t>
            </w:r>
          </w:p>
        </w:tc>
        <w:tc>
          <w:tcPr>
            <w:tcW w:w="2448"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kern w:val="0"/>
              </w:rPr>
              <w:t>安全隐患</w:t>
            </w:r>
          </w:p>
        </w:tc>
        <w:tc>
          <w:tcPr>
            <w:tcW w:w="2091"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Cs w:val="21"/>
              </w:rPr>
            </w:pPr>
            <w:r>
              <w:rPr>
                <w:rFonts w:hint="eastAsia" w:ascii="宋体" w:hAnsi="宋体" w:eastAsia="宋体" w:cs="宋体"/>
                <w:kern w:val="0"/>
              </w:rPr>
              <w:t>对策措施与整改建议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1</w:t>
            </w:r>
          </w:p>
        </w:tc>
        <w:tc>
          <w:tcPr>
            <w:tcW w:w="2448" w:type="pct"/>
            <w:tcBorders>
              <w:top w:val="single" w:color="auto" w:sz="4" w:space="0"/>
              <w:left w:val="nil"/>
              <w:bottom w:val="single" w:color="auto" w:sz="4" w:space="0"/>
              <w:right w:val="single" w:color="auto" w:sz="4" w:space="0"/>
            </w:tcBorders>
            <w:vAlign w:val="center"/>
          </w:tcPr>
          <w:p>
            <w:pPr>
              <w:spacing w:line="240" w:lineRule="auto"/>
              <w:rPr>
                <w:rFonts w:hint="eastAsia" w:ascii="宋体" w:hAnsi="宋体" w:eastAsia="宋体" w:cs="宋体"/>
                <w:kern w:val="0"/>
              </w:rPr>
            </w:pPr>
            <w:r>
              <w:rPr>
                <w:rFonts w:hint="eastAsia" w:ascii="宋体" w:hAnsi="宋体" w:eastAsia="宋体" w:cs="宋体"/>
                <w:sz w:val="24"/>
              </w:rPr>
              <w:t>氨回收装置区的机柜间设在爆炸区域内，未采取有效隔离措施</w:t>
            </w:r>
          </w:p>
        </w:tc>
        <w:tc>
          <w:tcPr>
            <w:tcW w:w="2091" w:type="pct"/>
            <w:tcBorders>
              <w:top w:val="single" w:color="auto" w:sz="4" w:space="0"/>
              <w:left w:val="nil"/>
              <w:bottom w:val="single" w:color="auto" w:sz="4" w:space="0"/>
              <w:right w:val="single" w:color="auto" w:sz="4" w:space="0"/>
            </w:tcBorders>
            <w:vAlign w:val="center"/>
          </w:tcPr>
          <w:p>
            <w:pPr>
              <w:rPr>
                <w:rFonts w:hint="eastAsia" w:ascii="宋体" w:hAnsi="宋体" w:eastAsia="宋体" w:cs="宋体"/>
                <w:sz w:val="24"/>
              </w:rPr>
            </w:pPr>
            <w:r>
              <w:rPr>
                <w:rFonts w:hint="eastAsia" w:ascii="宋体" w:hAnsi="宋体" w:eastAsia="宋体" w:cs="宋体"/>
                <w:sz w:val="24"/>
              </w:rPr>
              <w:t>控制机柜间与回收装置做有效隔离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2</w:t>
            </w:r>
          </w:p>
        </w:tc>
        <w:tc>
          <w:tcPr>
            <w:tcW w:w="2448"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氨回收装置区未设置禁止烟火警示标志。</w:t>
            </w:r>
          </w:p>
        </w:tc>
        <w:tc>
          <w:tcPr>
            <w:tcW w:w="2091"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在主出入口处设置禁火标识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bookmarkStart w:id="605" w:name="_Toc4883"/>
            <w:r>
              <w:rPr>
                <w:rFonts w:hint="eastAsia" w:ascii="宋体" w:hAnsi="宋体" w:eastAsia="宋体" w:cs="宋体"/>
                <w:sz w:val="24"/>
              </w:rPr>
              <w:t>3</w:t>
            </w:r>
          </w:p>
        </w:tc>
        <w:tc>
          <w:tcPr>
            <w:tcW w:w="2448"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氨回收装置区缺少危险介质安全告知牌。</w:t>
            </w:r>
          </w:p>
        </w:tc>
        <w:tc>
          <w:tcPr>
            <w:tcW w:w="2091"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在相关作业现场设置氨气、氨水、氢气危险特性应急处置措施告知牌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4</w:t>
            </w:r>
          </w:p>
        </w:tc>
        <w:tc>
          <w:tcPr>
            <w:tcW w:w="2448"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氨回收装置区出入口未设置应急疏散警示标识。</w:t>
            </w:r>
          </w:p>
        </w:tc>
        <w:tc>
          <w:tcPr>
            <w:tcW w:w="2091" w:type="pct"/>
            <w:tcBorders>
              <w:top w:val="single" w:color="auto" w:sz="4" w:space="0"/>
              <w:left w:val="nil"/>
              <w:bottom w:val="single" w:color="auto" w:sz="4" w:space="0"/>
              <w:right w:val="single" w:color="auto" w:sz="4" w:space="0"/>
            </w:tcBorders>
            <w:vAlign w:val="center"/>
          </w:tcPr>
          <w:p>
            <w:pPr>
              <w:adjustRightInd w:val="0"/>
              <w:snapToGrid w:val="0"/>
              <w:spacing w:line="280" w:lineRule="exact"/>
              <w:jc w:val="left"/>
              <w:rPr>
                <w:rFonts w:hint="eastAsia" w:ascii="宋体" w:hAnsi="宋体" w:eastAsia="宋体" w:cs="宋体"/>
                <w:sz w:val="24"/>
              </w:rPr>
            </w:pPr>
            <w:r>
              <w:rPr>
                <w:rFonts w:hint="eastAsia" w:ascii="宋体" w:hAnsi="宋体" w:eastAsia="宋体" w:cs="宋体"/>
                <w:sz w:val="24"/>
              </w:rPr>
              <w:t>出口处设置应急出口指示标识</w:t>
            </w:r>
          </w:p>
        </w:tc>
      </w:tr>
    </w:tbl>
    <w:p>
      <w:pPr>
        <w:pStyle w:val="4"/>
        <w:pageBreakBefore w:val="0"/>
        <w:kinsoku/>
        <w:wordWrap/>
        <w:overflowPunct/>
        <w:topLinePunct w:val="0"/>
        <w:autoSpaceDE/>
        <w:autoSpaceDN/>
        <w:bidi w:val="0"/>
        <w:spacing w:line="600" w:lineRule="exact"/>
        <w:jc w:val="left"/>
        <w:textAlignment w:val="auto"/>
        <w:rPr>
          <w:rFonts w:hint="eastAsia" w:ascii="宋体" w:hAnsi="宋体" w:eastAsia="宋体" w:cs="宋体"/>
          <w:sz w:val="30"/>
          <w:szCs w:val="30"/>
        </w:rPr>
      </w:pPr>
      <w:bookmarkStart w:id="606" w:name="_Toc24285"/>
      <w:r>
        <w:rPr>
          <w:rFonts w:hint="eastAsia" w:ascii="宋体" w:hAnsi="宋体" w:eastAsia="宋体" w:cs="宋体"/>
          <w:sz w:val="30"/>
          <w:szCs w:val="30"/>
        </w:rPr>
        <w:t>8.3</w:t>
      </w:r>
      <w:r>
        <w:rPr>
          <w:rFonts w:hint="eastAsia" w:ascii="宋体" w:hAnsi="宋体" w:eastAsia="宋体" w:cs="宋体"/>
          <w:kern w:val="0"/>
          <w:sz w:val="28"/>
          <w:szCs w:val="28"/>
        </w:rPr>
        <w:t>该企业</w:t>
      </w:r>
      <w:r>
        <w:rPr>
          <w:rFonts w:hint="eastAsia" w:ascii="宋体" w:hAnsi="宋体" w:eastAsia="宋体" w:cs="宋体"/>
          <w:sz w:val="30"/>
          <w:szCs w:val="30"/>
        </w:rPr>
        <w:t>项目存在问题及整改情况</w:t>
      </w:r>
      <w:bookmarkEnd w:id="605"/>
      <w:bookmarkEnd w:id="606"/>
    </w:p>
    <w:p>
      <w:pPr>
        <w:pageBreakBefore w:val="0"/>
        <w:kinsoku/>
        <w:wordWrap/>
        <w:overflowPunct/>
        <w:topLinePunct w:val="0"/>
        <w:autoSpaceDE/>
        <w:autoSpaceDN/>
        <w:bidi w:val="0"/>
        <w:spacing w:line="600" w:lineRule="exact"/>
        <w:ind w:firstLine="560" w:firstLineChars="200"/>
        <w:jc w:val="left"/>
        <w:textAlignment w:val="auto"/>
        <w:rPr>
          <w:rFonts w:hint="eastAsia" w:ascii="宋体" w:hAnsi="宋体" w:eastAsia="宋体" w:cs="宋体"/>
          <w:lang w:eastAsia="zh-CN"/>
        </w:rPr>
      </w:pPr>
      <w:r>
        <w:rPr>
          <w:rFonts w:hint="eastAsia" w:ascii="宋体" w:hAnsi="宋体" w:eastAsia="宋体" w:cs="宋体"/>
          <w:szCs w:val="32"/>
        </w:rPr>
        <w:t>通过与企业沟通，企业已与近期对现场提出的整改事项进行了相应的整改，</w:t>
      </w:r>
      <w:r>
        <w:rPr>
          <w:rFonts w:hint="eastAsia" w:ascii="宋体" w:hAnsi="宋体" w:eastAsia="宋体" w:cs="宋体"/>
          <w:szCs w:val="28"/>
        </w:rPr>
        <w:t>该公司的安全管理水平得到了进一步提高，整改完成情况</w:t>
      </w:r>
      <w:r>
        <w:rPr>
          <w:rFonts w:hint="eastAsia" w:ascii="宋体" w:hAnsi="宋体" w:eastAsia="宋体" w:cs="宋体"/>
          <w:szCs w:val="28"/>
          <w:lang w:eastAsia="zh-CN"/>
        </w:rPr>
        <w:t>详见报告附件。</w:t>
      </w:r>
    </w:p>
    <w:p>
      <w:pPr>
        <w:rPr>
          <w:rFonts w:hint="eastAsia" w:ascii="宋体" w:hAnsi="宋体" w:eastAsia="宋体" w:cs="宋体"/>
          <w:szCs w:val="32"/>
        </w:rPr>
      </w:pPr>
      <w:r>
        <w:rPr>
          <w:rFonts w:hint="eastAsia" w:ascii="宋体" w:hAnsi="宋体" w:eastAsia="宋体" w:cs="宋体"/>
          <w:szCs w:val="32"/>
        </w:rPr>
        <w:br w:type="page"/>
      </w:r>
    </w:p>
    <w:p>
      <w:pPr>
        <w:pStyle w:val="3"/>
        <w:pageBreakBefore w:val="0"/>
        <w:kinsoku/>
        <w:wordWrap/>
        <w:overflowPunct/>
        <w:topLinePunct w:val="0"/>
        <w:autoSpaceDE/>
        <w:autoSpaceDN/>
        <w:bidi w:val="0"/>
        <w:spacing w:line="600" w:lineRule="exact"/>
        <w:textAlignment w:val="auto"/>
        <w:rPr>
          <w:rFonts w:hint="eastAsia" w:ascii="宋体" w:hAnsi="宋体" w:eastAsia="宋体" w:cs="宋体"/>
          <w:szCs w:val="32"/>
        </w:rPr>
      </w:pPr>
      <w:bookmarkStart w:id="607" w:name="_Toc28182"/>
      <w:r>
        <w:rPr>
          <w:rFonts w:hint="eastAsia" w:ascii="宋体" w:hAnsi="宋体" w:eastAsia="宋体" w:cs="宋体"/>
          <w:szCs w:val="32"/>
        </w:rPr>
        <w:t>9评价结论</w:t>
      </w:r>
      <w:bookmarkEnd w:id="595"/>
      <w:bookmarkEnd w:id="596"/>
      <w:bookmarkEnd w:id="597"/>
      <w:bookmarkEnd w:id="598"/>
      <w:bookmarkEnd w:id="599"/>
      <w:bookmarkEnd w:id="607"/>
    </w:p>
    <w:p>
      <w:pPr>
        <w:pageBreakBefore w:val="0"/>
        <w:kinsoku/>
        <w:wordWrap/>
        <w:overflowPunct/>
        <w:topLinePunct w:val="0"/>
        <w:autoSpaceDE/>
        <w:autoSpaceDN/>
        <w:bidi w:val="0"/>
        <w:adjustRightInd w:val="0"/>
        <w:snapToGrid w:val="0"/>
        <w:spacing w:line="600" w:lineRule="exact"/>
        <w:textAlignment w:val="auto"/>
        <w:rPr>
          <w:rFonts w:hint="eastAsia" w:ascii="宋体" w:hAnsi="宋体" w:eastAsia="宋体" w:cs="宋体"/>
          <w:szCs w:val="28"/>
        </w:rPr>
      </w:pPr>
      <w:bookmarkStart w:id="608" w:name="_Toc227672695"/>
      <w:bookmarkStart w:id="609" w:name="_Toc111106242"/>
      <w:bookmarkStart w:id="610" w:name="_Toc145841678"/>
      <w:bookmarkStart w:id="611" w:name="_Toc213219631"/>
      <w:bookmarkStart w:id="612" w:name="_Toc115317620"/>
      <w:bookmarkStart w:id="613" w:name="_Toc97050229"/>
      <w:bookmarkStart w:id="614" w:name="_Toc341993554"/>
      <w:bookmarkStart w:id="615" w:name="_Toc166919857"/>
      <w:bookmarkStart w:id="616" w:name="_Toc213219156"/>
      <w:bookmarkStart w:id="617" w:name="_Toc213219714"/>
      <w:bookmarkStart w:id="618" w:name="_Toc213219795"/>
      <w:bookmarkStart w:id="619" w:name="_Toc199581548"/>
      <w:r>
        <w:rPr>
          <w:rFonts w:hint="eastAsia" w:ascii="宋体" w:hAnsi="宋体" w:eastAsia="宋体" w:cs="宋体"/>
          <w:b/>
          <w:bCs/>
          <w:sz w:val="30"/>
          <w:szCs w:val="30"/>
        </w:rPr>
        <w:t>9.1评价结果</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通过对</w:t>
      </w:r>
      <w:r>
        <w:rPr>
          <w:rFonts w:hint="eastAsia" w:ascii="宋体" w:hAnsi="宋体" w:eastAsia="宋体" w:cs="宋体"/>
          <w:szCs w:val="28"/>
          <w:lang w:val="zh-CN"/>
        </w:rPr>
        <w:t>江西</w:t>
      </w:r>
      <w:r>
        <w:rPr>
          <w:rFonts w:hint="eastAsia" w:ascii="宋体" w:hAnsi="宋体" w:eastAsia="宋体" w:cs="宋体"/>
          <w:szCs w:val="28"/>
        </w:rPr>
        <w:t>乾照光电</w:t>
      </w:r>
      <w:r>
        <w:rPr>
          <w:rFonts w:hint="eastAsia" w:ascii="宋体" w:hAnsi="宋体" w:eastAsia="宋体" w:cs="宋体"/>
          <w:szCs w:val="28"/>
          <w:lang w:val="zh-CN"/>
        </w:rPr>
        <w:t>有限公司氨回收装置</w:t>
      </w:r>
      <w:r>
        <w:rPr>
          <w:rFonts w:hint="eastAsia" w:ascii="宋体" w:hAnsi="宋体" w:eastAsia="宋体" w:cs="宋体"/>
          <w:szCs w:val="28"/>
        </w:rPr>
        <w:t>及辅助设施安全生产状况的安全生产设施检查、安全技术措施和管理体系审核、检查，以及定性、定量分析和评价，得出以下结果：</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1、根据《危险化学品名录》（2015版）和</w:t>
      </w:r>
      <w:r>
        <w:rPr>
          <w:rFonts w:hint="eastAsia" w:ascii="宋体" w:hAnsi="宋体" w:eastAsia="宋体" w:cs="宋体"/>
          <w:szCs w:val="28"/>
          <w:lang w:val="zh-CN"/>
        </w:rPr>
        <w:t>《重点监管的危险化学品名录（201</w:t>
      </w:r>
      <w:r>
        <w:rPr>
          <w:rFonts w:hint="eastAsia" w:ascii="宋体" w:hAnsi="宋体" w:eastAsia="宋体" w:cs="宋体"/>
          <w:szCs w:val="28"/>
        </w:rPr>
        <w:t>3</w:t>
      </w:r>
      <w:r>
        <w:rPr>
          <w:rFonts w:hint="eastAsia" w:ascii="宋体" w:hAnsi="宋体" w:eastAsia="宋体" w:cs="宋体"/>
          <w:szCs w:val="28"/>
          <w:lang w:val="zh-CN"/>
        </w:rPr>
        <w:t>年完整版）》</w:t>
      </w:r>
      <w:r>
        <w:rPr>
          <w:rFonts w:hint="eastAsia" w:ascii="宋体" w:hAnsi="宋体" w:eastAsia="宋体" w:cs="宋体"/>
          <w:szCs w:val="28"/>
        </w:rPr>
        <w:t>辨识，企业氨回收系统涉及的氨气、氨水、氢气（尾气）属于危险化学品，其中氨气、氢气属于国家重点监管的危险化学品。</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2、该企业氨回收系统中涉及的物料未超过《危险化学品重大危险源辨识》规定的临界量，未构成危险化学品重大危险源。</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3、根据</w:t>
      </w:r>
      <w:r>
        <w:rPr>
          <w:rFonts w:hint="eastAsia" w:ascii="宋体" w:hAnsi="宋体" w:eastAsia="宋体" w:cs="宋体"/>
          <w:szCs w:val="28"/>
          <w:lang w:val="zh-CN"/>
        </w:rPr>
        <w:t>《重点监管的危险化工工艺目录（</w:t>
      </w:r>
      <w:r>
        <w:rPr>
          <w:rFonts w:hint="eastAsia" w:ascii="宋体" w:hAnsi="宋体" w:eastAsia="宋体" w:cs="宋体"/>
          <w:szCs w:val="28"/>
        </w:rPr>
        <w:t>2013完整版）</w:t>
      </w:r>
      <w:r>
        <w:rPr>
          <w:rFonts w:hint="eastAsia" w:ascii="宋体" w:hAnsi="宋体" w:eastAsia="宋体" w:cs="宋体"/>
          <w:szCs w:val="28"/>
          <w:lang w:val="zh-CN"/>
        </w:rPr>
        <w:t>》</w:t>
      </w:r>
      <w:r>
        <w:rPr>
          <w:rFonts w:hint="eastAsia" w:ascii="宋体" w:hAnsi="宋体" w:eastAsia="宋体" w:cs="宋体"/>
          <w:szCs w:val="28"/>
        </w:rPr>
        <w:t>，氨回收系统工艺不属于重点监管的危险化工工艺。</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4、该工程在生产运行过程中存在的主要危险有害因素有：火灾爆炸、中毒和窒息、灼伤、触电、车辆伤害、机械伤害、物体打击、高处坠落、高温等与手工操有关危险有害因素，同时可能存在人为失误和管理缺陷。</w:t>
      </w:r>
    </w:p>
    <w:p>
      <w:pPr>
        <w:pageBreakBefore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5、危险度评价结果表明：氨回收装置的危险程度为低度危险，氨水储罐区危险程度为中度危险。</w:t>
      </w:r>
    </w:p>
    <w:p>
      <w:pPr>
        <w:keepNext w:val="0"/>
        <w:keepLines w:val="0"/>
        <w:pageBreakBefore w:val="0"/>
        <w:widowControl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6、作业条件危险性分析结果表明：评价所有单元的危险有害因素均属于“一般危险，需要注意”或“稍有危险，可以接受”危险等级</w:t>
      </w:r>
    </w:p>
    <w:p>
      <w:pPr>
        <w:keepNext w:val="0"/>
        <w:keepLines w:val="0"/>
        <w:pageBreakBefore w:val="0"/>
        <w:widowControl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7、安全检查表法评价结果表明：该企业氨回收系统的总体布局与常规防护设施、工艺和设备设施、公用设施等检查情况，符合安全要求。</w:t>
      </w:r>
    </w:p>
    <w:p>
      <w:pPr>
        <w:keepNext w:val="0"/>
        <w:keepLines w:val="0"/>
        <w:pageBreakBefore w:val="0"/>
        <w:widowControl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8、该工程配备的强制检验设备、设施检验情况、公用工程设施等检查情况，基本符合规范要求，可满足安全生产要求。</w:t>
      </w:r>
    </w:p>
    <w:p>
      <w:pPr>
        <w:keepNext w:val="0"/>
        <w:keepLines w:val="0"/>
        <w:pageBreakBefore w:val="0"/>
        <w:widowControl w:val="0"/>
        <w:kinsoku/>
        <w:wordWrap/>
        <w:overflowPunct/>
        <w:topLinePunct w:val="0"/>
        <w:autoSpaceDE/>
        <w:autoSpaceDN/>
        <w:bidi w:val="0"/>
        <w:adjustRightInd w:val="0"/>
        <w:snapToGrid w:val="0"/>
        <w:spacing w:line="600" w:lineRule="exact"/>
        <w:ind w:firstLine="534" w:firstLineChars="191"/>
        <w:textAlignment w:val="auto"/>
        <w:rPr>
          <w:rFonts w:hint="eastAsia" w:ascii="宋体" w:hAnsi="宋体" w:eastAsia="宋体" w:cs="宋体"/>
          <w:szCs w:val="28"/>
        </w:rPr>
      </w:pPr>
      <w:r>
        <w:rPr>
          <w:rFonts w:hint="eastAsia" w:ascii="宋体" w:hAnsi="宋体" w:eastAsia="宋体" w:cs="宋体"/>
          <w:szCs w:val="28"/>
        </w:rPr>
        <w:t>9、企业建立了完善的安全管理机构、安全管理制度和事故应急救援体系，配备了专职的安全管理人员，可满足安全生产的要求。</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宋体" w:hAnsi="宋体" w:eastAsia="宋体" w:cs="宋体"/>
          <w:b/>
          <w:bCs/>
          <w:szCs w:val="28"/>
        </w:rPr>
      </w:pPr>
      <w:r>
        <w:rPr>
          <w:rFonts w:hint="eastAsia" w:ascii="宋体" w:hAnsi="宋体" w:eastAsia="宋体" w:cs="宋体"/>
          <w:b/>
          <w:bCs/>
          <w:sz w:val="30"/>
          <w:szCs w:val="30"/>
        </w:rPr>
        <w:t>9.2评价结论</w:t>
      </w:r>
    </w:p>
    <w:p>
      <w:pPr>
        <w:keepNext w:val="0"/>
        <w:keepLines w:val="0"/>
        <w:pageBreakBefore w:val="0"/>
        <w:widowControl w:val="0"/>
        <w:kinsoku/>
        <w:wordWrap/>
        <w:overflowPunct/>
        <w:topLinePunct w:val="0"/>
        <w:autoSpaceDE/>
        <w:autoSpaceDN/>
        <w:bidi w:val="0"/>
        <w:adjustRightInd w:val="0"/>
        <w:snapToGrid w:val="0"/>
        <w:spacing w:line="600" w:lineRule="exact"/>
        <w:ind w:firstLine="540" w:firstLineChars="192"/>
        <w:textAlignment w:val="auto"/>
        <w:rPr>
          <w:rFonts w:hint="eastAsia" w:ascii="宋体" w:hAnsi="宋体" w:eastAsia="宋体" w:cs="宋体"/>
          <w:b/>
          <w:bCs/>
          <w:spacing w:val="-4"/>
          <w:szCs w:val="28"/>
        </w:rPr>
      </w:pPr>
      <w:r>
        <w:rPr>
          <w:rFonts w:hint="eastAsia" w:ascii="宋体" w:hAnsi="宋体" w:eastAsia="宋体" w:cs="宋体"/>
          <w:b/>
          <w:szCs w:val="28"/>
          <w:lang w:val="zh-CN"/>
        </w:rPr>
        <w:t>江西乾照光电有限公司（氨回收装置）</w:t>
      </w:r>
      <w:r>
        <w:rPr>
          <w:rFonts w:hint="eastAsia" w:ascii="宋体" w:hAnsi="宋体" w:eastAsia="宋体" w:cs="宋体"/>
          <w:b/>
          <w:szCs w:val="28"/>
        </w:rPr>
        <w:t>在</w:t>
      </w:r>
      <w:r>
        <w:rPr>
          <w:rFonts w:hint="eastAsia" w:ascii="宋体" w:hAnsi="宋体" w:eastAsia="宋体" w:cs="宋体"/>
          <w:b/>
          <w:szCs w:val="28"/>
          <w:lang w:val="zh-CN"/>
        </w:rPr>
        <w:t>生产</w:t>
      </w:r>
      <w:r>
        <w:rPr>
          <w:rFonts w:hint="eastAsia" w:ascii="宋体" w:hAnsi="宋体" w:eastAsia="宋体" w:cs="宋体"/>
          <w:b/>
          <w:szCs w:val="28"/>
        </w:rPr>
        <w:t>经营过程中，</w:t>
      </w:r>
      <w:r>
        <w:rPr>
          <w:rFonts w:hint="eastAsia" w:ascii="宋体" w:hAnsi="宋体" w:eastAsia="宋体" w:cs="宋体"/>
          <w:b/>
          <w:bCs/>
          <w:szCs w:val="28"/>
        </w:rPr>
        <w:t>针对运行过程中的危险、有害因素，</w:t>
      </w:r>
      <w:r>
        <w:rPr>
          <w:rFonts w:hint="eastAsia" w:ascii="宋体" w:hAnsi="宋体" w:eastAsia="宋体" w:cs="宋体"/>
          <w:b/>
          <w:szCs w:val="28"/>
        </w:rPr>
        <w:t>按相关法规、规范的要求采取了相应的安全</w:t>
      </w:r>
      <w:r>
        <w:rPr>
          <w:rFonts w:hint="eastAsia" w:ascii="宋体" w:hAnsi="宋体" w:eastAsia="宋体" w:cs="宋体"/>
          <w:b/>
          <w:bCs/>
          <w:szCs w:val="28"/>
        </w:rPr>
        <w:t>技术设施和安全管理措施</w:t>
      </w:r>
      <w:r>
        <w:rPr>
          <w:rFonts w:hint="eastAsia" w:ascii="宋体" w:hAnsi="宋体" w:eastAsia="宋体" w:cs="宋体"/>
          <w:b/>
          <w:szCs w:val="28"/>
        </w:rPr>
        <w:t>，</w:t>
      </w:r>
      <w:r>
        <w:rPr>
          <w:rFonts w:hint="eastAsia" w:ascii="宋体" w:hAnsi="宋体" w:eastAsia="宋体" w:cs="宋体"/>
          <w:b/>
          <w:bCs/>
          <w:szCs w:val="28"/>
        </w:rPr>
        <w:t>其运行风险在可接受范围内，满足安全生产</w:t>
      </w:r>
      <w:r>
        <w:rPr>
          <w:rFonts w:hint="eastAsia" w:ascii="宋体" w:hAnsi="宋体" w:eastAsia="宋体" w:cs="宋体"/>
          <w:b/>
          <w:bCs/>
          <w:szCs w:val="28"/>
          <w:lang w:eastAsia="zh-CN"/>
        </w:rPr>
        <w:t>经营</w:t>
      </w:r>
      <w:r>
        <w:rPr>
          <w:rFonts w:hint="eastAsia" w:ascii="宋体" w:hAnsi="宋体" w:eastAsia="宋体" w:cs="宋体"/>
          <w:b/>
          <w:bCs/>
          <w:szCs w:val="28"/>
        </w:rPr>
        <w:t>条件</w:t>
      </w:r>
      <w:r>
        <w:rPr>
          <w:rFonts w:hint="eastAsia" w:ascii="宋体" w:hAnsi="宋体" w:eastAsia="宋体" w:cs="宋体"/>
          <w:b/>
          <w:szCs w:val="28"/>
        </w:rPr>
        <w:t>。</w:t>
      </w:r>
      <w:bookmarkStart w:id="620" w:name="_Toc29157"/>
      <w:bookmarkStart w:id="621" w:name="_Toc409074896"/>
      <w:bookmarkStart w:id="622" w:name="_Toc372208717"/>
      <w:bookmarkStart w:id="623" w:name="_Toc3794"/>
      <w:bookmarkStart w:id="624" w:name="_Toc486427826"/>
      <w:bookmarkStart w:id="625" w:name="_Toc338249361"/>
    </w:p>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ascii="宋体" w:hAnsi="宋体" w:eastAsia="宋体" w:cs="宋体"/>
          <w:szCs w:val="28"/>
        </w:rPr>
      </w:pPr>
      <w:r>
        <w:rPr>
          <w:rStyle w:val="38"/>
          <w:rFonts w:hint="eastAsia" w:ascii="宋体" w:hAnsi="宋体" w:eastAsia="宋体" w:cs="宋体"/>
        </w:rPr>
        <w:br w:type="page"/>
      </w:r>
      <w:bookmarkEnd w:id="523"/>
    </w:p>
    <w:p>
      <w:pPr>
        <w:pStyle w:val="3"/>
        <w:spacing w:line="600" w:lineRule="exact"/>
        <w:jc w:val="both"/>
        <w:rPr>
          <w:rFonts w:hint="eastAsia" w:ascii="宋体" w:hAnsi="宋体" w:eastAsia="宋体" w:cs="宋体"/>
          <w:bCs w:val="0"/>
          <w:kern w:val="2"/>
          <w:sz w:val="28"/>
          <w:szCs w:val="28"/>
        </w:rPr>
      </w:pPr>
      <w:bookmarkStart w:id="626" w:name="_Toc24712"/>
      <w:bookmarkStart w:id="627" w:name="_Toc16064"/>
      <w:bookmarkStart w:id="628" w:name="_Toc11004"/>
      <w:bookmarkStart w:id="629" w:name="_Toc525109179"/>
      <w:bookmarkStart w:id="630" w:name="_Toc5328"/>
      <w:r>
        <w:rPr>
          <w:rFonts w:hint="eastAsia" w:ascii="宋体" w:hAnsi="宋体" w:eastAsia="宋体" w:cs="宋体"/>
          <w:bCs w:val="0"/>
          <w:kern w:val="2"/>
          <w:sz w:val="28"/>
          <w:szCs w:val="28"/>
        </w:rPr>
        <w:t>附件一：企业涉及的危险化学品理化性质及危险特性表</w:t>
      </w:r>
      <w:bookmarkEnd w:id="626"/>
      <w:bookmarkEnd w:id="627"/>
      <w:bookmarkEnd w:id="628"/>
    </w:p>
    <w:bookmarkEnd w:id="629"/>
    <w:bookmarkEnd w:id="630"/>
    <w:p>
      <w:pPr>
        <w:spacing w:line="240" w:lineRule="auto"/>
        <w:jc w:val="center"/>
        <w:rPr>
          <w:rFonts w:hint="eastAsia" w:ascii="宋体" w:hAnsi="宋体" w:eastAsia="宋体" w:cs="宋体"/>
          <w:sz w:val="21"/>
          <w:szCs w:val="21"/>
        </w:rPr>
      </w:pPr>
      <w:r>
        <w:rPr>
          <w:rFonts w:hint="eastAsia" w:ascii="宋体" w:hAnsi="宋体" w:eastAsia="宋体" w:cs="宋体"/>
          <w:b/>
          <w:sz w:val="21"/>
        </w:rPr>
        <w:t>1、氨的危险特性及安全资料</w:t>
      </w:r>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070"/>
        <w:gridCol w:w="21"/>
        <w:gridCol w:w="397"/>
        <w:gridCol w:w="1756"/>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标识</w:t>
            </w:r>
          </w:p>
        </w:tc>
        <w:tc>
          <w:tcPr>
            <w:tcW w:w="407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中文名：氨；氨气(液氨)</w:t>
            </w:r>
          </w:p>
        </w:tc>
        <w:tc>
          <w:tcPr>
            <w:tcW w:w="4904"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英文名：ammonia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7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分子式：NH</w:t>
            </w:r>
            <w:r>
              <w:rPr>
                <w:rFonts w:hint="eastAsia" w:ascii="宋体" w:hAnsi="宋体" w:eastAsia="宋体" w:cs="宋体"/>
                <w:sz w:val="21"/>
                <w:szCs w:val="21"/>
                <w:vertAlign w:val="subscript"/>
              </w:rPr>
              <w:t>3</w:t>
            </w:r>
          </w:p>
        </w:tc>
        <w:tc>
          <w:tcPr>
            <w:tcW w:w="2174"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分子量：17.03</w:t>
            </w:r>
          </w:p>
        </w:tc>
        <w:tc>
          <w:tcPr>
            <w:tcW w:w="273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UN编号：1005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7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危规号：23003</w:t>
            </w:r>
          </w:p>
        </w:tc>
        <w:tc>
          <w:tcPr>
            <w:tcW w:w="2174"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RTECS号：BO0875000</w:t>
            </w:r>
          </w:p>
        </w:tc>
        <w:tc>
          <w:tcPr>
            <w:tcW w:w="273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CAS编号：7664-41-7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理化性质</w:t>
            </w:r>
          </w:p>
        </w:tc>
        <w:tc>
          <w:tcPr>
            <w:tcW w:w="6244"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外观与性状：无色有刺激性恶臭的气体。</w:t>
            </w:r>
          </w:p>
        </w:tc>
        <w:tc>
          <w:tcPr>
            <w:tcW w:w="2730"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爆炸性气体分组：ⅡAT1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熔点(℃)：-77.7</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相对密度（水=1）：0.82(-79℃)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沸点(℃)：-33.5</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相对密度（空气=1）：0.6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饱和蒸气压(kPa)：506.62(4.7℃)</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燃烧热(kJ/mol)：无资料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临界温度(℃)：132.5</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辛烷/水分配系数对数值：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临界压力(MPa)：11.40</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折射率：无资料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燃烧性：易燃</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溶解性：易溶于水、乙醇、乙醚。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燃爆性及消防</w:t>
            </w: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最小点火能(mJ)：无资料</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稳定性：稳定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引燃温度(℃)：651</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聚合危害：不聚合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闪点(℃)：无意义</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避免接触的条件：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爆炸极限(V%)：15.7-27.4</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禁忌物：卤素、酰基氯、酸类、氯仿、强氧化剂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091"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最大爆炸压力(MPa)：0.580</w:t>
            </w:r>
          </w:p>
        </w:tc>
        <w:tc>
          <w:tcPr>
            <w:tcW w:w="4883"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燃烧(分解)产物：氧化氮、氨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危险特性：与空气混合能形成爆炸性混合物。遇明火高热能引起燃烧爆炸。与氟、氯等接触会发生剧烈的化学反应。若遇高热，容器内压增大，有开裂和爆炸的危险。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灭火方法：消防人员必须穿戴全身防火防毒服。切断气源。若不能立即切断气源，则不允许熄灭正在燃烧的气体。喷水冷却容器，可能的话将容器从火场移至空旷处。</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灭火剂：雾状水、抗溶性泡沫、二氧化碳、砂土。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restart"/>
            <w:vAlign w:val="center"/>
          </w:tcPr>
          <w:p>
            <w:pPr>
              <w:pStyle w:val="21"/>
              <w:pBdr>
                <w:bottom w:val="none" w:color="auto" w:sz="0" w:space="0"/>
              </w:pBdr>
              <w:tabs>
                <w:tab w:val="clear" w:pos="4153"/>
              </w:tabs>
              <w:snapToGrid/>
              <w:jc w:val="left"/>
              <w:rPr>
                <w:rFonts w:hint="eastAsia" w:ascii="宋体" w:hAnsi="宋体" w:eastAsia="宋体" w:cs="宋体"/>
                <w:sz w:val="21"/>
                <w:szCs w:val="21"/>
              </w:rPr>
            </w:pPr>
            <w:r>
              <w:rPr>
                <w:rFonts w:hint="eastAsia" w:ascii="宋体" w:hAnsi="宋体" w:eastAsia="宋体" w:cs="宋体"/>
                <w:sz w:val="21"/>
                <w:szCs w:val="21"/>
              </w:rPr>
              <w:t>毒性及健康危害</w:t>
            </w: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接触限值：中国：PC-TWA 20 mg/m</w:t>
            </w:r>
            <w:r>
              <w:rPr>
                <w:rFonts w:hint="eastAsia" w:ascii="宋体" w:hAnsi="宋体" w:eastAsia="宋体" w:cs="宋体"/>
                <w:sz w:val="21"/>
                <w:szCs w:val="21"/>
                <w:vertAlign w:val="superscript"/>
              </w:rPr>
              <w:t>3</w:t>
            </w:r>
            <w:r>
              <w:rPr>
                <w:rFonts w:hint="eastAsia" w:ascii="宋体" w:hAnsi="宋体" w:eastAsia="宋体" w:cs="宋体"/>
                <w:sz w:val="21"/>
                <w:szCs w:val="21"/>
              </w:rPr>
              <w:t xml:space="preserve"> ；PC-STEL 30 mg/m</w:t>
            </w:r>
            <w:r>
              <w:rPr>
                <w:rFonts w:hint="eastAsia" w:ascii="宋体" w:hAnsi="宋体" w:eastAsia="宋体" w:cs="宋体"/>
                <w:sz w:val="21"/>
                <w:szCs w:val="21"/>
                <w:vertAlign w:val="superscript"/>
              </w:rPr>
              <w:t>3</w:t>
            </w:r>
          </w:p>
          <w:p>
            <w:pPr>
              <w:tabs>
                <w:tab w:val="right" w:pos="8306"/>
              </w:tabs>
              <w:spacing w:line="240" w:lineRule="auto"/>
              <w:ind w:firstLine="1050" w:firstLineChars="500"/>
              <w:jc w:val="left"/>
              <w:rPr>
                <w:rFonts w:hint="eastAsia" w:ascii="宋体" w:hAnsi="宋体" w:eastAsia="宋体" w:cs="宋体"/>
                <w:sz w:val="21"/>
                <w:szCs w:val="21"/>
              </w:rPr>
            </w:pPr>
            <w:r>
              <w:rPr>
                <w:rFonts w:hint="eastAsia" w:ascii="宋体" w:hAnsi="宋体" w:eastAsia="宋体" w:cs="宋体"/>
                <w:sz w:val="21"/>
                <w:szCs w:val="21"/>
              </w:rPr>
              <w:t>美国：TVL-TWA 17 mg/m</w:t>
            </w:r>
            <w:r>
              <w:rPr>
                <w:rFonts w:hint="eastAsia" w:ascii="宋体" w:hAnsi="宋体" w:eastAsia="宋体" w:cs="宋体"/>
                <w:sz w:val="21"/>
                <w:szCs w:val="21"/>
                <w:vertAlign w:val="superscript"/>
              </w:rPr>
              <w:t>3</w:t>
            </w:r>
            <w:r>
              <w:rPr>
                <w:rFonts w:hint="eastAsia" w:ascii="宋体" w:hAnsi="宋体" w:eastAsia="宋体" w:cs="宋体"/>
                <w:sz w:val="21"/>
                <w:szCs w:val="21"/>
              </w:rPr>
              <w:t>；TLV-STEL 24 mg/m</w:t>
            </w:r>
            <w:r>
              <w:rPr>
                <w:rFonts w:hint="eastAsia" w:ascii="宋体" w:hAnsi="宋体" w:eastAsia="宋体" w:cs="宋体"/>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急性毒性：LD</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350mg/kg(大鼠经口)  LC</w:t>
            </w:r>
            <w:r>
              <w:rPr>
                <w:rFonts w:hint="eastAsia" w:ascii="宋体" w:hAnsi="宋体" w:eastAsia="宋体" w:cs="宋体"/>
                <w:sz w:val="21"/>
                <w:szCs w:val="21"/>
                <w:vertAlign w:val="subscript"/>
              </w:rPr>
              <w:t>50</w:t>
            </w:r>
            <w:r>
              <w:rPr>
                <w:rFonts w:hint="eastAsia" w:ascii="宋体" w:hAnsi="宋体" w:eastAsia="宋体" w:cs="宋体"/>
                <w:sz w:val="21"/>
                <w:szCs w:val="21"/>
              </w:rPr>
              <w:t>1390 mg/m</w:t>
            </w:r>
            <w:r>
              <w:rPr>
                <w:rFonts w:hint="eastAsia" w:ascii="宋体" w:hAnsi="宋体" w:eastAsia="宋体" w:cs="宋体"/>
                <w:sz w:val="21"/>
                <w:szCs w:val="21"/>
                <w:vertAlign w:val="superscript"/>
              </w:rPr>
              <w:t>3</w:t>
            </w:r>
            <w:r>
              <w:rPr>
                <w:rFonts w:hint="eastAsia" w:ascii="宋体" w:hAnsi="宋体" w:eastAsia="宋体" w:cs="宋体"/>
                <w:sz w:val="21"/>
                <w:szCs w:val="21"/>
              </w:rPr>
              <w:t>,4h(大鼠吸入)</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刺激性：家兔经眼：100 mg，重度刺激。亚急性和慢性毒性：大鼠，20 mg/m</w:t>
            </w:r>
            <w:r>
              <w:rPr>
                <w:rFonts w:hint="eastAsia" w:ascii="宋体" w:hAnsi="宋体" w:eastAsia="宋体" w:cs="宋体"/>
                <w:sz w:val="21"/>
                <w:szCs w:val="21"/>
                <w:vertAlign w:val="superscript"/>
              </w:rPr>
              <w:t>3</w:t>
            </w:r>
            <w:r>
              <w:rPr>
                <w:rFonts w:hint="eastAsia" w:ascii="宋体" w:hAnsi="宋体" w:eastAsia="宋体" w:cs="宋体"/>
                <w:sz w:val="21"/>
                <w:szCs w:val="21"/>
              </w:rPr>
              <w:t>，24h/天,84天，或5-6h/天，7个月，出现神经系统功能紊乱，血胆碱酯酶活性抑制等。致突变性：微生物致突变：大肠杆菌1500ppm(3h)。细胞遗传学分析：大鼠吸入19800μg/m</w:t>
            </w:r>
            <w:r>
              <w:rPr>
                <w:rFonts w:hint="eastAsia" w:ascii="宋体" w:hAnsi="宋体" w:eastAsia="宋体" w:cs="宋体"/>
                <w:sz w:val="21"/>
                <w:szCs w:val="21"/>
                <w:vertAlign w:val="superscript"/>
              </w:rPr>
              <w:t>3</w:t>
            </w:r>
            <w:r>
              <w:rPr>
                <w:rFonts w:hint="eastAsia" w:ascii="宋体" w:hAnsi="宋体" w:eastAsia="宋体" w:cs="宋体"/>
                <w:sz w:val="21"/>
                <w:szCs w:val="21"/>
              </w:rPr>
              <w:t>，16周。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48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侵入途径：吸入</w:t>
            </w:r>
          </w:p>
        </w:tc>
        <w:tc>
          <w:tcPr>
            <w:tcW w:w="4486" w:type="dxa"/>
            <w:gridSpan w:val="2"/>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Ⅳ（轻度危害）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74" w:type="dxa"/>
            <w:gridSpan w:val="5"/>
            <w:vAlign w:val="center"/>
          </w:tcPr>
          <w:p>
            <w:pPr>
              <w:tabs>
                <w:tab w:val="right" w:pos="8306"/>
              </w:tabs>
              <w:spacing w:line="240" w:lineRule="auto"/>
              <w:jc w:val="left"/>
              <w:rPr>
                <w:rFonts w:hint="eastAsia" w:ascii="宋体" w:hAnsi="宋体" w:eastAsia="宋体" w:cs="宋体"/>
                <w:spacing w:val="-4"/>
                <w:sz w:val="21"/>
                <w:szCs w:val="21"/>
              </w:rPr>
            </w:pPr>
            <w:r>
              <w:rPr>
                <w:rFonts w:hint="eastAsia" w:ascii="宋体" w:hAnsi="宋体" w:eastAsia="宋体" w:cs="宋体"/>
                <w:sz w:val="21"/>
                <w:szCs w:val="21"/>
              </w:rPr>
              <w:t>健康危害：</w:t>
            </w:r>
            <w:r>
              <w:rPr>
                <w:rFonts w:hint="eastAsia" w:ascii="宋体" w:hAnsi="宋体" w:eastAsia="宋体" w:cs="宋体"/>
                <w:spacing w:val="-4"/>
                <w:sz w:val="21"/>
                <w:szCs w:val="21"/>
              </w:rPr>
              <w:t>低浓度氨对粘膜有刺激作用，高浓度可造成组织溶解坏死。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pacing w:val="-4"/>
                <w:sz w:val="21"/>
                <w:szCs w:val="21"/>
              </w:rPr>
              <w:t>急性中毒：轻度者出现流泪、咽痛、声音嘶哑、咳嗽、咯痰等；眼结膜、鼻粘膜、咽部充血、水肿；胸部X射线征象符合支气管炎或支气管周围炎。中度中毒上述症状加剧，出现呼吸困难、紫绀；胸部X征象符合肺炎或间质性肺炎。严重者可发生中毒性肺水肿，或有呼吸窘迫综合症，患者剧烈咳嗽、咯大量粉红色泡沫痰、呼吸窘迫、谵妄、昏迷、休克等。可发生喉头水肿或支气管粘膜坏死脱落窒息。高浓度氨可引起反射性呼吸停止。液氨或高浓度氨可致眼灼伤；液氨可致皮肤灼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急救</w:t>
            </w: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皮肤接触：立即脱去被污染的衣着，用2%硼酸液或大量清水冲洗。就医。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眼睛接触：立即提起眼睑，用大量流动清水或生理盐水彻底冲洗至少15分钟。就医。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吸    入：迅速脱离现场至空气新鲜处。保持呼吸道通畅。如呼吸困难，给输氧。如呼吸停止，立即进行人工呼吸。就医。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防护</w:t>
            </w: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检测方法：纳氏试剂比色法 工程控制：严加密闭，提供充分的局部排风和全面通风。提供安全淋浴和洗眼设备。呼吸系统防护：空气中浓度超标时，建议佩戴过滤式防毒面具（半面罩）。紧急事态抢救或撤离时，必须佩戴空气呼吸器。眼睛防护：戴化学安全防护眼镜。  身体防护：穿防静电工作服。手防护：戴橡胶手套。其它：工作现场禁止吸烟、进食和饮水。工作毕，淋浴更衣。保持良好的卫生习惯。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泄漏处理</w:t>
            </w: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迅速撤泄漏污染区人员至上风处，并立即隔离150m，严格限制出入。切断火源。建议应急处理人员戴自给正压式呼吸器，穿防毒服。尽可能切断泄漏源。合理通风，加速扩散。高浓度泄漏区，喷含盐酸的雾状水中和、稀释、溶解。构筑围堤或挖坑收容产生的大量废水。如有可能，将残气或漏出气用排风机送至水洗塔或与塔相连的通风橱内。储罐区最好设稀酸喷洒设施。泄气容器要妥善处理，修复检验后再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426"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储运</w:t>
            </w:r>
          </w:p>
        </w:tc>
        <w:tc>
          <w:tcPr>
            <w:tcW w:w="8974" w:type="dxa"/>
            <w:gridSpan w:val="5"/>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易燃、腐蚀性压缩气体。储存于阴凉、干燥、通风良好的仓间。远离火种、热源。防止阳光直射。应与卤素(氟、氯、溴)、酸类等分开存放。罐储时要有防火、防爆技术措施。配备相应品种和数量的消防器材。禁止使用易产生火花的机械设备和工具。验收时要注意品名，注意验瓶日期，先进仓的先发用。槽车运送时要灌装适量，不可超压超量运输。搬运时要轻装轻卸，防止钢瓶及附件破损。运输按规定路线行驶，中途不得停留。</w:t>
            </w:r>
          </w:p>
        </w:tc>
      </w:tr>
    </w:tbl>
    <w:p>
      <w:pPr>
        <w:spacing w:line="240" w:lineRule="auto"/>
        <w:jc w:val="center"/>
        <w:rPr>
          <w:rFonts w:hint="eastAsia" w:ascii="宋体" w:hAnsi="宋体" w:eastAsia="宋体" w:cs="宋体"/>
          <w:sz w:val="21"/>
          <w:szCs w:val="21"/>
        </w:rPr>
      </w:pPr>
      <w:bookmarkStart w:id="631" w:name="_Toc258569693"/>
      <w:r>
        <w:rPr>
          <w:rFonts w:hint="eastAsia" w:ascii="宋体" w:hAnsi="宋体" w:eastAsia="宋体" w:cs="宋体"/>
          <w:b/>
          <w:sz w:val="21"/>
        </w:rPr>
        <w:t>2、氨溶液危险特性及安全资料</w:t>
      </w:r>
      <w:bookmarkEnd w:id="631"/>
    </w:p>
    <w:tbl>
      <w:tblPr>
        <w:tblStyle w:val="28"/>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47"/>
        <w:gridCol w:w="3675"/>
        <w:gridCol w:w="801"/>
        <w:gridCol w:w="1839"/>
        <w:gridCol w:w="26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标识</w:t>
            </w: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中文名：氨溶液、氨水20%</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英文名</w:t>
            </w:r>
            <w:r>
              <w:rPr>
                <w:rFonts w:hint="eastAsia" w:ascii="宋体" w:hAnsi="宋体" w:eastAsia="宋体" w:cs="宋体"/>
                <w:sz w:val="21"/>
                <w:szCs w:val="21"/>
                <w:lang w:val="en-GB"/>
              </w:rPr>
              <w:t>：</w:t>
            </w:r>
            <w:r>
              <w:rPr>
                <w:rFonts w:hint="eastAsia" w:ascii="宋体" w:hAnsi="宋体" w:eastAsia="宋体" w:cs="宋体"/>
                <w:sz w:val="21"/>
                <w:szCs w:val="21"/>
              </w:rPr>
              <w:t>ammonium htdroxide； ammonia water</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分子式</w:t>
            </w:r>
            <w:r>
              <w:rPr>
                <w:rFonts w:hint="eastAsia" w:ascii="宋体" w:hAnsi="宋体" w:eastAsia="宋体" w:cs="宋体"/>
                <w:sz w:val="21"/>
                <w:szCs w:val="21"/>
                <w:lang w:val="en-GB"/>
              </w:rPr>
              <w:t>：</w:t>
            </w:r>
            <w:r>
              <w:rPr>
                <w:rFonts w:hint="eastAsia" w:ascii="宋体" w:hAnsi="宋体" w:eastAsia="宋体" w:cs="宋体"/>
                <w:sz w:val="21"/>
                <w:szCs w:val="21"/>
              </w:rPr>
              <w:t>NH</w:t>
            </w:r>
            <w:r>
              <w:rPr>
                <w:rFonts w:hint="eastAsia" w:ascii="宋体" w:hAnsi="宋体" w:eastAsia="宋体" w:cs="宋体"/>
                <w:sz w:val="21"/>
                <w:szCs w:val="21"/>
                <w:vertAlign w:val="subscript"/>
              </w:rPr>
              <w:t>4</w:t>
            </w:r>
            <w:r>
              <w:rPr>
                <w:rFonts w:hint="eastAsia" w:ascii="宋体" w:hAnsi="宋体" w:eastAsia="宋体" w:cs="宋体"/>
                <w:sz w:val="21"/>
                <w:szCs w:val="21"/>
              </w:rPr>
              <w:t>OH</w:t>
            </w:r>
          </w:p>
        </w:tc>
        <w:tc>
          <w:tcPr>
            <w:tcW w:w="2640"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分子量：35.05</w:t>
            </w:r>
          </w:p>
        </w:tc>
        <w:tc>
          <w:tcPr>
            <w:tcW w:w="2638"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UN编号：2672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危规号：82503</w:t>
            </w:r>
          </w:p>
        </w:tc>
        <w:tc>
          <w:tcPr>
            <w:tcW w:w="2640"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RTECS号：BQ9625000</w:t>
            </w:r>
          </w:p>
        </w:tc>
        <w:tc>
          <w:tcPr>
            <w:tcW w:w="2638"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CAS编号：1336-21-6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理化性质</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性状：无色透明液体。有强烈的刺激性臭味。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熔点(℃)：无资料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相对密度（水=1）：0.91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沸点(℃)：无资料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相对密度（空气=1）：无资料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饱和蒸气压(kPa)：1.59(20℃)</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辛醇/水分配系数的对数值：25%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临界温度(℃)：</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燃烧热(kJ/mol)：无资料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临界压力(MPa)：</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折射率：无资料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最小点火能(mJ)：无资料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溶解性：溶于水、醇。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燃烧爆炸性</w:t>
            </w: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燃烧性：不燃</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稳定性：稳定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引燃温度(℃)：无资料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聚合危害：不聚合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闪点(℃)：</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避免接触的条件：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爆炸极限(V%)：无资料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禁忌物：酸类、铝、铜。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3675"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最大爆炸压力(MPa)：无资料</w:t>
            </w:r>
          </w:p>
        </w:tc>
        <w:tc>
          <w:tcPr>
            <w:tcW w:w="5278" w:type="dxa"/>
            <w:gridSpan w:val="3"/>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燃烧(分解)产物：氨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危险特性：易分解放出氨气，温度越高，分解速度越快，可形成爆炸性气氛。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灭火方法：灭火剂：水、雾状水、砂土。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restart"/>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毒性及健康危害</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接触限值：中国：[参考液氨] PC-TWA 20 mg/m</w:t>
            </w:r>
            <w:r>
              <w:rPr>
                <w:rFonts w:hint="eastAsia" w:ascii="宋体" w:hAnsi="宋体" w:eastAsia="宋体" w:cs="宋体"/>
                <w:sz w:val="21"/>
                <w:szCs w:val="21"/>
                <w:vertAlign w:val="superscript"/>
              </w:rPr>
              <w:t>3</w:t>
            </w:r>
            <w:r>
              <w:rPr>
                <w:rFonts w:hint="eastAsia" w:ascii="宋体" w:hAnsi="宋体" w:eastAsia="宋体" w:cs="宋体"/>
                <w:sz w:val="21"/>
                <w:szCs w:val="21"/>
              </w:rPr>
              <w:t xml:space="preserve">   PC-STEL  30 mg/m</w:t>
            </w:r>
            <w:r>
              <w:rPr>
                <w:rFonts w:hint="eastAsia" w:ascii="宋体" w:hAnsi="宋体" w:eastAsia="宋体" w:cs="宋体"/>
                <w:sz w:val="21"/>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急性毒性</w:t>
            </w:r>
            <w:r>
              <w:rPr>
                <w:rFonts w:hint="eastAsia" w:ascii="宋体" w:hAnsi="宋体" w:eastAsia="宋体" w:cs="宋体"/>
                <w:sz w:val="21"/>
                <w:szCs w:val="21"/>
                <w:lang w:val="en-GB"/>
              </w:rPr>
              <w:t>：</w:t>
            </w:r>
            <w:r>
              <w:rPr>
                <w:rFonts w:hint="eastAsia" w:ascii="宋体" w:hAnsi="宋体" w:eastAsia="宋体" w:cs="宋体"/>
                <w:sz w:val="21"/>
                <w:szCs w:val="21"/>
              </w:rPr>
              <w:t>LD</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w:t>
            </w:r>
          </w:p>
          <w:p>
            <w:pPr>
              <w:tabs>
                <w:tab w:val="right" w:pos="8306"/>
              </w:tabs>
              <w:spacing w:line="240" w:lineRule="auto"/>
              <w:ind w:firstLine="1050" w:firstLineChars="500"/>
              <w:jc w:val="left"/>
              <w:rPr>
                <w:rFonts w:hint="eastAsia" w:ascii="宋体" w:hAnsi="宋体" w:eastAsia="宋体" w:cs="宋体"/>
                <w:sz w:val="21"/>
                <w:szCs w:val="21"/>
              </w:rPr>
            </w:pPr>
            <w:r>
              <w:rPr>
                <w:rFonts w:hint="eastAsia" w:ascii="宋体" w:hAnsi="宋体" w:eastAsia="宋体" w:cs="宋体"/>
                <w:sz w:val="21"/>
                <w:szCs w:val="21"/>
              </w:rPr>
              <w:t>LC</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4476"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侵入途径：吸入、食入</w:t>
            </w:r>
          </w:p>
        </w:tc>
        <w:tc>
          <w:tcPr>
            <w:tcW w:w="4477" w:type="dxa"/>
            <w:gridSpan w:val="2"/>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Ⅳ级(轻度危害)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Merge w:val="continue"/>
            <w:vAlign w:val="center"/>
          </w:tcPr>
          <w:p>
            <w:pPr>
              <w:tabs>
                <w:tab w:val="right" w:pos="8306"/>
              </w:tabs>
              <w:spacing w:line="240" w:lineRule="auto"/>
              <w:jc w:val="left"/>
              <w:rPr>
                <w:rFonts w:hint="eastAsia" w:ascii="宋体" w:hAnsi="宋体" w:eastAsia="宋体" w:cs="宋体"/>
                <w:sz w:val="21"/>
                <w:szCs w:val="21"/>
              </w:rPr>
            </w:pP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健康危害：吸入后对鼻、喉和肺有刺激性，引起咳嗽、气短和哮喘等；重者发生喉头水肿、肺水肿及心、肝、肾损害。皮肤接触可致灼伤。口服灼伤消化道。慢性影响：反复低浓度接触，可引起支气管炎；可致皮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急救</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皮肤接触：立即脱去被污染的衣着，用流动大量流动清水冲洗，至少15分钟。就医。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眼睛接触：立即提起眼睑，用大量流动清水或生理盐水彻底清洗15分钟。就医。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吸入：迅速脱离现场至空气新鲜处保持呼吸道通畅，如呼吸困难，给输氧。如呼吸停止，立即进行人工呼吸。就医。</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食入：误服者用水漱口，给饮牛奶或蛋清。就医。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防护</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检测方法：纳氏试剂比色法。工程控制：严加密闭，提供充分的局部排风和全面通风。提供安全淋浴和洗眼设备。</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呼吸系统防护：可能接触其蒸气时，应该佩戴导管式防素养同具或直接式防毒面具（半面罩）。眼睛防护：戴化学安全防护眼镜。</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身体防护：穿酸碱工作服。</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手防护：橡胶气势手套。</w:t>
            </w:r>
          </w:p>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其他：工作现场严禁吸烟、进食和饮水。工作毕，淋浴更衣。保持良好的卫生习惯。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泄漏处理</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迅速撤离泄漏污染区人员至安全区，并进行隔离，严格限制出入。建议应急处理人员戴自给正压式呼吸器，穿酸碱工作服。不要直接接触泄漏物。尽可能切断泄漏源。防止进入下水道、排洪沟等限制性空间。小量泄漏：用砂土蛭石或其他惰性材料吸收。也可用大量水冲洗，洗水稀释后放入废水系统。大量泄漏：构筑围堤或挖坑收容。用泵转移至槽车或专用收集器内，回收或运至废物处理场所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47" w:type="dxa"/>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储运</w:t>
            </w:r>
          </w:p>
        </w:tc>
        <w:tc>
          <w:tcPr>
            <w:tcW w:w="8953" w:type="dxa"/>
            <w:gridSpan w:val="4"/>
            <w:vAlign w:val="center"/>
          </w:tcPr>
          <w:p>
            <w:pPr>
              <w:tabs>
                <w:tab w:val="right" w:pos="8306"/>
              </w:tabs>
              <w:spacing w:line="240" w:lineRule="auto"/>
              <w:jc w:val="left"/>
              <w:rPr>
                <w:rFonts w:hint="eastAsia" w:ascii="宋体" w:hAnsi="宋体" w:eastAsia="宋体" w:cs="宋体"/>
                <w:sz w:val="21"/>
                <w:szCs w:val="21"/>
              </w:rPr>
            </w:pPr>
            <w:r>
              <w:rPr>
                <w:rFonts w:hint="eastAsia" w:ascii="宋体" w:hAnsi="宋体" w:eastAsia="宋体" w:cs="宋体"/>
                <w:sz w:val="21"/>
                <w:szCs w:val="21"/>
              </w:rPr>
              <w:t>储存于阴凉、干燥、通风良好的仓间。远离火种、热源，防止阳光直射。保持容器密封。应与酸类、金属粉末等分开存放。露天贮罐夏季要有降湿措施。分状和搬运作业要注意个人防护。托运时要轻装轻卸，防止包装及容跑龙套损坏。运输按规定路线行驶，勿在居民区和人口稠密区停留。</w:t>
            </w:r>
          </w:p>
        </w:tc>
      </w:tr>
    </w:tbl>
    <w:p>
      <w:pPr>
        <w:spacing w:line="240" w:lineRule="auto"/>
        <w:jc w:val="center"/>
        <w:rPr>
          <w:rFonts w:hint="eastAsia" w:ascii="宋体" w:hAnsi="宋体" w:eastAsia="宋体" w:cs="宋体"/>
          <w:b/>
          <w:sz w:val="21"/>
        </w:rPr>
      </w:pPr>
      <w:bookmarkStart w:id="632" w:name="_Toc258569191"/>
      <w:r>
        <w:rPr>
          <w:rFonts w:hint="eastAsia" w:ascii="宋体" w:hAnsi="宋体" w:eastAsia="宋体" w:cs="宋体"/>
          <w:b/>
          <w:sz w:val="21"/>
        </w:rPr>
        <w:t>3、氢气的危险特性及安全资料</w:t>
      </w:r>
      <w:bookmarkEnd w:id="632"/>
    </w:p>
    <w:tbl>
      <w:tblPr>
        <w:tblStyle w:val="2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31"/>
        <w:gridCol w:w="3940"/>
        <w:gridCol w:w="2493"/>
        <w:gridCol w:w="253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restart"/>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标识</w:t>
            </w: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中文名：氢；氢气</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英文名：hydrogen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分子式：H</w:t>
            </w:r>
            <w:r>
              <w:rPr>
                <w:rFonts w:hint="eastAsia" w:ascii="宋体" w:hAnsi="宋体" w:eastAsia="宋体" w:cs="宋体"/>
                <w:sz w:val="21"/>
                <w:szCs w:val="21"/>
                <w:vertAlign w:val="subscript"/>
              </w:rPr>
              <w:t>2</w:t>
            </w:r>
          </w:p>
        </w:tc>
        <w:tc>
          <w:tcPr>
            <w:tcW w:w="2493"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分子量：2.01</w:t>
            </w:r>
          </w:p>
        </w:tc>
        <w:tc>
          <w:tcPr>
            <w:tcW w:w="2536"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UN编号：1049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危规号：21001</w:t>
            </w:r>
          </w:p>
        </w:tc>
        <w:tc>
          <w:tcPr>
            <w:tcW w:w="2493"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RTECS号：MW8900000</w:t>
            </w:r>
          </w:p>
        </w:tc>
        <w:tc>
          <w:tcPr>
            <w:tcW w:w="2536"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CAS编号：1333-74-0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restart"/>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理化性质</w:t>
            </w:r>
          </w:p>
        </w:tc>
        <w:tc>
          <w:tcPr>
            <w:tcW w:w="6433"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外观与性状：无色无臭气体</w:t>
            </w:r>
          </w:p>
        </w:tc>
        <w:tc>
          <w:tcPr>
            <w:tcW w:w="2536"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爆炸性气体分类：ⅡCT1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熔点(℃)：-259.2</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相对密度（水=1）：0.07(-252℃)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沸点(℃)：-252.8</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相对密度（空气=1）：0.07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饱和蒸气压(kPa)：13.33/-257.9℃</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燃烧热(kJ/mol)：241.0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临界温度(℃)：-240</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辛烷/水分配系数对数值：无资料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临界压力(MPa)：1.30</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折射率：无资料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最小点火能(mJ)：0.019</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溶解性：不溶于水，不溶于乙醇、乙醚。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restart"/>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燃爆性及消防</w:t>
            </w: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燃烧性：易燃</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稳定性：稳定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闪点(℃)：无意义</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聚合危害：不聚合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引燃温度(℃)：500</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避免接触的条件：光照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爆炸极限(V%)：4.1-74.1</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禁忌物：强氧化剂、卤素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3940" w:type="dxa"/>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最大爆炸压力(MPa)：0.720</w:t>
            </w:r>
          </w:p>
        </w:tc>
        <w:tc>
          <w:tcPr>
            <w:tcW w:w="5029" w:type="dxa"/>
            <w:gridSpan w:val="2"/>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燃烧(分解)产物：水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危险特性：与空气混合能形成爆炸性混合物，遇热或明火即会发生爆炸。气体比空气轻，漏气上升滞留屋顶不易排出,遇火星会引起爆炸。与氟、氯、溴等卤素接触会剧烈反应。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灭火方法：切断气源。若不能立即切断气源，则不允许熄灭正在燃烧的气体。喷水冷却容器，可能的话将容器从火场移至空旷处。</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灭火剂：雾状水、泡沫、二氧化碳、干粉。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restart"/>
            <w:vAlign w:val="center"/>
          </w:tcPr>
          <w:p>
            <w:pPr>
              <w:spacing w:line="0" w:lineRule="atLeast"/>
              <w:jc w:val="center"/>
              <w:rPr>
                <w:rFonts w:hint="eastAsia" w:ascii="宋体" w:hAnsi="宋体" w:eastAsia="宋体" w:cs="宋体"/>
                <w:sz w:val="21"/>
                <w:szCs w:val="21"/>
              </w:rPr>
            </w:pPr>
            <w:r>
              <w:rPr>
                <w:rFonts w:hint="eastAsia" w:ascii="宋体" w:hAnsi="宋体" w:eastAsia="宋体" w:cs="宋体"/>
                <w:sz w:val="21"/>
                <w:szCs w:val="21"/>
              </w:rPr>
              <w:t>毒性及健康危害</w:t>
            </w: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接触限值：中国：未制定标准</w:t>
            </w:r>
          </w:p>
          <w:p>
            <w:pPr>
              <w:tabs>
                <w:tab w:val="right" w:pos="8306"/>
              </w:tabs>
              <w:spacing w:line="0" w:lineRule="atLeast"/>
              <w:ind w:firstLine="1050"/>
              <w:rPr>
                <w:rFonts w:hint="eastAsia" w:ascii="宋体" w:hAnsi="宋体" w:eastAsia="宋体" w:cs="宋体"/>
                <w:sz w:val="21"/>
                <w:szCs w:val="21"/>
              </w:rPr>
            </w:pPr>
            <w:r>
              <w:rPr>
                <w:rFonts w:hint="eastAsia" w:ascii="宋体" w:hAnsi="宋体" w:eastAsia="宋体" w:cs="宋体"/>
                <w:sz w:val="21"/>
                <w:szCs w:val="21"/>
              </w:rPr>
              <w:t>美国：TLV-TWA ACGIH窒息性气体   TLV-STEL  未制定标准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急性毒性：LD</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      LC</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8969" w:type="dxa"/>
            <w:gridSpan w:val="3"/>
            <w:vAlign w:val="center"/>
          </w:tcPr>
          <w:p>
            <w:pPr>
              <w:spacing w:line="0" w:lineRule="atLeast"/>
              <w:rPr>
                <w:rFonts w:hint="eastAsia" w:ascii="宋体" w:hAnsi="宋体" w:eastAsia="宋体" w:cs="宋体"/>
                <w:sz w:val="21"/>
                <w:szCs w:val="21"/>
              </w:rPr>
            </w:pPr>
            <w:r>
              <w:rPr>
                <w:rFonts w:hint="eastAsia" w:ascii="宋体" w:hAnsi="宋体" w:eastAsia="宋体" w:cs="宋体"/>
                <w:sz w:val="21"/>
                <w:szCs w:val="21"/>
              </w:rPr>
              <w:t>侵入途径：吸入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Merge w:val="continue"/>
            <w:vAlign w:val="center"/>
          </w:tcPr>
          <w:p>
            <w:pPr>
              <w:tabs>
                <w:tab w:val="right" w:pos="8306"/>
              </w:tabs>
              <w:spacing w:line="0" w:lineRule="atLeast"/>
              <w:jc w:val="center"/>
              <w:rPr>
                <w:rFonts w:hint="eastAsia" w:ascii="宋体" w:hAnsi="宋体" w:eastAsia="宋体" w:cs="宋体"/>
                <w:sz w:val="21"/>
                <w:szCs w:val="21"/>
              </w:rPr>
            </w:pPr>
          </w:p>
        </w:tc>
        <w:tc>
          <w:tcPr>
            <w:tcW w:w="8969" w:type="dxa"/>
            <w:gridSpan w:val="3"/>
            <w:vAlign w:val="center"/>
          </w:tcPr>
          <w:p>
            <w:pPr>
              <w:spacing w:line="0" w:lineRule="atLeast"/>
              <w:rPr>
                <w:rFonts w:hint="eastAsia" w:ascii="宋体" w:hAnsi="宋体" w:eastAsia="宋体" w:cs="宋体"/>
                <w:sz w:val="21"/>
                <w:szCs w:val="21"/>
              </w:rPr>
            </w:pPr>
            <w:r>
              <w:rPr>
                <w:rFonts w:hint="eastAsia" w:ascii="宋体" w:hAnsi="宋体" w:eastAsia="宋体" w:cs="宋体"/>
                <w:sz w:val="21"/>
                <w:szCs w:val="21"/>
              </w:rPr>
              <w:t>健康危害：在生理学上是惰性气体，仅在高浓度时，由于空气中氧分压降低才会引起窒息。在很高的分压下，氢气可呈现出麻醉作用。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急救</w:t>
            </w: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吸入：迅速脱离现场至空气新鲜处。保持呼吸道通畅。如呼吸困难，给输氧。如呼吸停止，立即进行人工呼吸。就医。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防护</w:t>
            </w: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检测方法：</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工程控制：密闭系统，通风，防爆电器与照明。</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呼吸系统防护：一般不需要特殊防护，高浓度接触时可佩戴空气呼吸器。</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眼睛防护：一般不需要特殊防护。</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身体防护：穿防静电工作服。</w:t>
            </w:r>
          </w:p>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手 防 护：戴一般作业防护手套。</w:t>
            </w:r>
          </w:p>
          <w:p>
            <w:pPr>
              <w:tabs>
                <w:tab w:val="right" w:pos="8306"/>
              </w:tabs>
              <w:spacing w:line="0" w:lineRule="atLeast"/>
              <w:ind w:left="1050" w:hanging="1050" w:hangingChars="500"/>
              <w:rPr>
                <w:rFonts w:hint="eastAsia" w:ascii="宋体" w:hAnsi="宋体" w:eastAsia="宋体" w:cs="宋体"/>
                <w:sz w:val="21"/>
                <w:szCs w:val="21"/>
              </w:rPr>
            </w:pPr>
            <w:r>
              <w:rPr>
                <w:rFonts w:hint="eastAsia" w:ascii="宋体" w:hAnsi="宋体" w:eastAsia="宋体" w:cs="宋体"/>
                <w:sz w:val="21"/>
                <w:szCs w:val="21"/>
              </w:rPr>
              <w:t>其    它：工作现场严禁吸烟。避免高浓度吸入。进入罐、限制性空间或其它高浓度区作业，须有人监护。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Align w:val="center"/>
          </w:tcPr>
          <w:p>
            <w:pPr>
              <w:tabs>
                <w:tab w:val="right" w:pos="8306"/>
              </w:tabs>
              <w:spacing w:line="240" w:lineRule="exact"/>
              <w:jc w:val="center"/>
              <w:rPr>
                <w:rFonts w:hint="eastAsia" w:ascii="宋体" w:hAnsi="宋体" w:eastAsia="宋体" w:cs="宋体"/>
                <w:sz w:val="21"/>
                <w:szCs w:val="21"/>
              </w:rPr>
            </w:pPr>
            <w:r>
              <w:rPr>
                <w:rFonts w:hint="eastAsia" w:ascii="宋体" w:hAnsi="宋体" w:eastAsia="宋体" w:cs="宋体"/>
                <w:sz w:val="21"/>
                <w:szCs w:val="21"/>
              </w:rPr>
              <w:t>泄漏处理</w:t>
            </w: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迅速撤离泄漏污染区人员至上风处，并进行隔离，严格限制出入。切断火源。建议应急处理人员戴自给正压式呼吸器，穿消防防护服。尽可能切断泄漏源。合理通风，加速扩散。如有可能，将漏出气用排风机送至空旷地方或装设适当喷头烧掉。泄气容器要妥善处理，修复、检验后再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431" w:type="dxa"/>
            <w:vAlign w:val="center"/>
          </w:tcPr>
          <w:p>
            <w:pPr>
              <w:tabs>
                <w:tab w:val="right" w:pos="8306"/>
              </w:tabs>
              <w:spacing w:line="0" w:lineRule="atLeast"/>
              <w:jc w:val="center"/>
              <w:rPr>
                <w:rFonts w:hint="eastAsia" w:ascii="宋体" w:hAnsi="宋体" w:eastAsia="宋体" w:cs="宋体"/>
                <w:sz w:val="21"/>
                <w:szCs w:val="21"/>
              </w:rPr>
            </w:pPr>
            <w:r>
              <w:rPr>
                <w:rFonts w:hint="eastAsia" w:ascii="宋体" w:hAnsi="宋体" w:eastAsia="宋体" w:cs="宋体"/>
                <w:sz w:val="21"/>
                <w:szCs w:val="21"/>
              </w:rPr>
              <w:t>储运</w:t>
            </w:r>
          </w:p>
        </w:tc>
        <w:tc>
          <w:tcPr>
            <w:tcW w:w="8969" w:type="dxa"/>
            <w:gridSpan w:val="3"/>
            <w:vAlign w:val="center"/>
          </w:tcPr>
          <w:p>
            <w:pPr>
              <w:tabs>
                <w:tab w:val="right" w:pos="8306"/>
              </w:tabs>
              <w:spacing w:line="0" w:lineRule="atLeast"/>
              <w:rPr>
                <w:rFonts w:hint="eastAsia" w:ascii="宋体" w:hAnsi="宋体" w:eastAsia="宋体" w:cs="宋体"/>
                <w:sz w:val="21"/>
                <w:szCs w:val="21"/>
              </w:rPr>
            </w:pPr>
            <w:r>
              <w:rPr>
                <w:rFonts w:hint="eastAsia" w:ascii="宋体" w:hAnsi="宋体" w:eastAsia="宋体" w:cs="宋体"/>
                <w:sz w:val="21"/>
                <w:szCs w:val="21"/>
              </w:rPr>
              <w:t>易燃压缩气体。储存于阴凉、通风仓间内。仓温不宜超过30℃。远离火种、热源。防止阳光直射。应与氧气、压缩空气、卤素（氟、氯、溴）、氧化剂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要轻装轻卸，防止钢瓶及附件破损。</w:t>
            </w:r>
          </w:p>
        </w:tc>
      </w:tr>
    </w:tbl>
    <w:p>
      <w:pPr>
        <w:rPr>
          <w:rFonts w:hint="eastAsia" w:ascii="宋体" w:hAnsi="宋体" w:eastAsia="宋体" w:cs="宋体"/>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p>
    <w:p>
      <w:pPr>
        <w:pStyle w:val="16"/>
        <w:adjustRightInd/>
        <w:snapToGrid/>
        <w:spacing w:line="600" w:lineRule="exact"/>
        <w:ind w:firstLine="0" w:firstLine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评价人员</w:t>
      </w:r>
      <w:r>
        <w:rPr>
          <w:rFonts w:hint="eastAsia" w:ascii="宋体" w:hAnsi="宋体" w:eastAsia="宋体" w:cs="宋体"/>
          <w:color w:val="auto"/>
          <w:sz w:val="28"/>
          <w:szCs w:val="28"/>
        </w:rPr>
        <w:t>现场照片：</w:t>
      </w:r>
    </w:p>
    <w:p>
      <w:pPr>
        <w:rPr>
          <w:rFonts w:hint="eastAsia" w:ascii="宋体" w:hAnsi="宋体" w:eastAsia="宋体" w:cs="宋体"/>
        </w:rPr>
      </w:pPr>
      <w:r>
        <w:rPr>
          <w:rFonts w:hint="eastAsia" w:ascii="宋体" w:hAnsi="宋体" w:eastAsia="宋体" w:cs="宋体"/>
        </w:rPr>
        <w:drawing>
          <wp:inline distT="0" distB="0" distL="114300" distR="114300">
            <wp:extent cx="5752465" cy="4312285"/>
            <wp:effectExtent l="0" t="0" r="635" b="12065"/>
            <wp:docPr id="4" name="图片 4" descr="560867591e06065d8f66026efa08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60867591e06065d8f66026efa08693"/>
                    <pic:cNvPicPr>
                      <a:picLocks noChangeAspect="1"/>
                    </pic:cNvPicPr>
                  </pic:nvPicPr>
                  <pic:blipFill>
                    <a:blip r:embed="rId14"/>
                    <a:stretch>
                      <a:fillRect/>
                    </a:stretch>
                  </pic:blipFill>
                  <pic:spPr>
                    <a:xfrm>
                      <a:off x="0" y="0"/>
                      <a:ext cx="5752465" cy="4312285"/>
                    </a:xfrm>
                    <a:prstGeom prst="rect">
                      <a:avLst/>
                    </a:prstGeom>
                  </pic:spPr>
                </pic:pic>
              </a:graphicData>
            </a:graphic>
          </wp:inline>
        </w:drawing>
      </w:r>
    </w:p>
    <w:p>
      <w:pPr>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pStyle w:val="2"/>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jc w:val="left"/>
        <w:textAlignment w:val="auto"/>
        <w:outlineLvl w:val="0"/>
        <w:rPr>
          <w:rFonts w:hint="eastAsia" w:ascii="宋体" w:hAnsi="宋体" w:eastAsia="宋体" w:cs="宋体"/>
          <w:b/>
          <w:bCs w:val="0"/>
          <w:kern w:val="2"/>
          <w:sz w:val="28"/>
          <w:szCs w:val="28"/>
          <w:lang w:val="en-US" w:eastAsia="zh-CN" w:bidi="ar-SA"/>
        </w:rPr>
      </w:pPr>
      <w:bookmarkStart w:id="633" w:name="_Toc17859"/>
      <w:bookmarkStart w:id="634" w:name="_Toc15647"/>
      <w:r>
        <w:rPr>
          <w:rFonts w:hint="eastAsia" w:ascii="宋体" w:hAnsi="宋体" w:eastAsia="宋体" w:cs="宋体"/>
          <w:b/>
          <w:bCs w:val="0"/>
          <w:kern w:val="2"/>
          <w:sz w:val="28"/>
          <w:szCs w:val="28"/>
          <w:lang w:val="en-US" w:eastAsia="zh-CN" w:bidi="ar-SA"/>
        </w:rPr>
        <w:t>附件二、相关资料目录</w:t>
      </w:r>
      <w:bookmarkEnd w:id="633"/>
    </w:p>
    <w:bookmarkEnd w:id="634"/>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1、企业整改回复</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2</w:t>
      </w:r>
      <w:r>
        <w:rPr>
          <w:rFonts w:hint="eastAsia" w:ascii="宋体" w:hAnsi="宋体" w:eastAsia="宋体" w:cs="宋体"/>
          <w:szCs w:val="28"/>
        </w:rPr>
        <w:t>、工商营业执照</w:t>
      </w:r>
      <w:r>
        <w:rPr>
          <w:rFonts w:hint="eastAsia" w:ascii="宋体" w:hAnsi="宋体" w:eastAsia="宋体" w:cs="宋体"/>
          <w:szCs w:val="28"/>
          <w:lang w:eastAsia="zh-CN"/>
        </w:rPr>
        <w:t>、</w:t>
      </w:r>
      <w:r>
        <w:rPr>
          <w:rFonts w:hint="eastAsia" w:ascii="宋体" w:hAnsi="宋体" w:eastAsia="宋体" w:cs="宋体"/>
          <w:szCs w:val="28"/>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3</w:t>
      </w:r>
      <w:r>
        <w:rPr>
          <w:rFonts w:hint="eastAsia" w:ascii="宋体" w:hAnsi="宋体" w:eastAsia="宋体" w:cs="宋体"/>
          <w:szCs w:val="28"/>
        </w:rPr>
        <w:t>、</w:t>
      </w:r>
      <w:r>
        <w:rPr>
          <w:rFonts w:hint="eastAsia" w:ascii="宋体" w:hAnsi="宋体" w:eastAsia="宋体" w:cs="宋体"/>
          <w:szCs w:val="28"/>
          <w:lang w:eastAsia="zh-CN"/>
        </w:rPr>
        <w:t>不动产权证、</w:t>
      </w:r>
      <w:r>
        <w:rPr>
          <w:rFonts w:hint="eastAsia" w:ascii="宋体" w:hAnsi="宋体" w:eastAsia="宋体" w:cs="宋体"/>
          <w:szCs w:val="28"/>
        </w:rPr>
        <w:t>土地使用证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eastAsia="zh-CN"/>
        </w:rPr>
      </w:pPr>
      <w:r>
        <w:rPr>
          <w:rFonts w:hint="eastAsia" w:ascii="宋体" w:hAnsi="宋体" w:eastAsia="宋体" w:cs="宋体"/>
          <w:szCs w:val="28"/>
          <w:lang w:val="en-US" w:eastAsia="zh-CN"/>
        </w:rPr>
        <w:t>4</w:t>
      </w:r>
      <w:r>
        <w:rPr>
          <w:rFonts w:hint="eastAsia" w:ascii="宋体" w:hAnsi="宋体" w:eastAsia="宋体" w:cs="宋体"/>
          <w:szCs w:val="28"/>
        </w:rPr>
        <w:t>、</w:t>
      </w:r>
      <w:r>
        <w:rPr>
          <w:rFonts w:hint="eastAsia" w:ascii="宋体" w:hAnsi="宋体" w:eastAsia="宋体" w:cs="宋体"/>
          <w:szCs w:val="28"/>
          <w:lang w:eastAsia="zh-CN"/>
        </w:rPr>
        <w:t>建设项目规划许可证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lang w:eastAsia="zh-CN"/>
        </w:rPr>
      </w:pPr>
      <w:r>
        <w:rPr>
          <w:rFonts w:hint="eastAsia" w:ascii="宋体" w:hAnsi="宋体" w:eastAsia="宋体" w:cs="宋体"/>
          <w:szCs w:val="28"/>
          <w:lang w:val="en-US" w:eastAsia="zh-CN"/>
        </w:rPr>
        <w:t>5、</w:t>
      </w:r>
      <w:r>
        <w:rPr>
          <w:rFonts w:hint="eastAsia" w:ascii="宋体" w:hAnsi="宋体" w:eastAsia="宋体" w:cs="宋体"/>
          <w:szCs w:val="28"/>
          <w:lang w:eastAsia="zh-CN"/>
        </w:rPr>
        <w:t>立项批文</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6、</w:t>
      </w:r>
      <w:r>
        <w:rPr>
          <w:rFonts w:hint="eastAsia" w:ascii="宋体" w:hAnsi="宋体" w:eastAsia="宋体" w:cs="宋体"/>
          <w:szCs w:val="28"/>
        </w:rPr>
        <w:t>消防验收意见书</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7、</w:t>
      </w:r>
      <w:r>
        <w:rPr>
          <w:rFonts w:hint="eastAsia" w:ascii="宋体" w:hAnsi="宋体" w:eastAsia="宋体" w:cs="宋体"/>
          <w:szCs w:val="28"/>
          <w:lang w:eastAsia="zh-CN"/>
        </w:rPr>
        <w:t>生产安全</w:t>
      </w:r>
      <w:r>
        <w:rPr>
          <w:rFonts w:hint="eastAsia" w:ascii="宋体" w:hAnsi="宋体" w:eastAsia="宋体" w:cs="宋体"/>
          <w:szCs w:val="28"/>
        </w:rPr>
        <w:t>事故应急救援预案备案登记表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8</w:t>
      </w:r>
      <w:r>
        <w:rPr>
          <w:rFonts w:hint="eastAsia" w:ascii="宋体" w:hAnsi="宋体" w:eastAsia="宋体" w:cs="宋体"/>
          <w:szCs w:val="28"/>
        </w:rPr>
        <w:t>、员工缴纳工伤保险的证明材料</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9、</w:t>
      </w:r>
      <w:r>
        <w:rPr>
          <w:rFonts w:hint="eastAsia" w:ascii="宋体" w:hAnsi="宋体" w:eastAsia="宋体" w:cs="宋体"/>
          <w:szCs w:val="28"/>
        </w:rPr>
        <w:t>安全生产责任制、管理制度目录、操作规程</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10、</w:t>
      </w:r>
      <w:r>
        <w:rPr>
          <w:rFonts w:hint="eastAsia" w:ascii="宋体" w:hAnsi="宋体" w:eastAsia="宋体" w:cs="宋体"/>
          <w:szCs w:val="28"/>
        </w:rPr>
        <w:t>企业主要负责人、安全管理人员、特种作业人员资格证书、注安证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11</w:t>
      </w:r>
      <w:r>
        <w:rPr>
          <w:rFonts w:hint="eastAsia" w:ascii="宋体" w:hAnsi="宋体" w:eastAsia="宋体" w:cs="宋体"/>
          <w:szCs w:val="28"/>
        </w:rPr>
        <w:t>、防雷、防静电检测报告、气体探测器校验报告</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12</w:t>
      </w:r>
      <w:r>
        <w:rPr>
          <w:rFonts w:hint="eastAsia" w:ascii="宋体" w:hAnsi="宋体" w:eastAsia="宋体" w:cs="宋体"/>
          <w:szCs w:val="28"/>
        </w:rPr>
        <w:t>、总平面布置图</w:t>
      </w:r>
    </w:p>
    <w:p>
      <w:pPr>
        <w:pStyle w:val="2"/>
        <w:rPr>
          <w:rFonts w:hint="eastAsia" w:ascii="宋体" w:hAnsi="宋体" w:eastAsia="宋体" w:cs="宋体"/>
        </w:rPr>
      </w:pPr>
    </w:p>
    <w:sectPr>
      <w:pgSz w:w="11906" w:h="16838"/>
      <w:pgMar w:top="1417" w:right="1417" w:bottom="1417" w:left="141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single" w:color="auto" w:sz="4" w:space="1"/>
      </w:pBdr>
    </w:pPr>
    <w:r>
      <w:rPr>
        <w:rFonts w:hAnsi="宋体"/>
      </w:rPr>
      <w:t>江西赣安安全生产科学技术咨询服务中心</w:t>
    </w:r>
    <w:r>
      <w:t xml:space="preserve">         </w:t>
    </w:r>
    <w:r>
      <w:rPr>
        <w:rFonts w:hint="eastAsia"/>
      </w:rPr>
      <w:t xml:space="preserve"> </w:t>
    </w:r>
    <w:r>
      <w:t xml:space="preserve">     </w:t>
    </w:r>
    <w:r>
      <w:rPr>
        <w:szCs w:val="18"/>
      </w:rPr>
      <w:fldChar w:fldCharType="begin"/>
    </w:r>
    <w:r>
      <w:rPr>
        <w:rStyle w:val="32"/>
        <w:szCs w:val="18"/>
      </w:rPr>
      <w:instrText xml:space="preserve"> PAGE </w:instrText>
    </w:r>
    <w:r>
      <w:rPr>
        <w:szCs w:val="18"/>
      </w:rPr>
      <w:fldChar w:fldCharType="separate"/>
    </w:r>
    <w:r>
      <w:rPr>
        <w:rStyle w:val="32"/>
        <w:szCs w:val="18"/>
      </w:rPr>
      <w:t>V</w:t>
    </w:r>
    <w:r>
      <w:rPr>
        <w:szCs w:val="18"/>
      </w:rPr>
      <w:fldChar w:fldCharType="end"/>
    </w:r>
    <w:r>
      <w:rPr>
        <w:rStyle w:val="32"/>
        <w:szCs w:val="18"/>
      </w:rPr>
      <w:t xml:space="preserve">       </w:t>
    </w:r>
    <w:r>
      <w:rPr>
        <w:rStyle w:val="32"/>
        <w:rFonts w:hint="eastAsia"/>
        <w:szCs w:val="18"/>
      </w:rPr>
      <w:t xml:space="preserve">           </w:t>
    </w:r>
    <w:r>
      <w:rPr>
        <w:rStyle w:val="32"/>
        <w:szCs w:val="18"/>
      </w:rPr>
      <w:t xml:space="preserve">                APJ-</w:t>
    </w:r>
    <w:r>
      <w:rPr>
        <w:rStyle w:val="32"/>
        <w:rFonts w:hAnsi="宋体"/>
        <w:szCs w:val="18"/>
      </w:rPr>
      <w:t>（</w:t>
    </w:r>
    <w:r>
      <w:rPr>
        <w:rStyle w:val="32"/>
        <w:rFonts w:hint="eastAsia" w:hAnsi="宋体"/>
        <w:szCs w:val="18"/>
      </w:rPr>
      <w:t>赣</w:t>
    </w:r>
    <w:r>
      <w:rPr>
        <w:rStyle w:val="32"/>
        <w:rFonts w:hAnsi="宋体"/>
        <w:szCs w:val="18"/>
      </w:rPr>
      <w:t>）</w:t>
    </w:r>
    <w:r>
      <w:rPr>
        <w:rStyle w:val="32"/>
        <w:szCs w:val="18"/>
      </w:rPr>
      <w:t>-</w:t>
    </w:r>
    <w:r>
      <w:rPr>
        <w:rStyle w:val="32"/>
        <w:rFonts w:hint="eastAsia"/>
        <w:szCs w:val="18"/>
      </w:rPr>
      <w:t>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single" w:color="auto" w:sz="4" w:space="1"/>
      </w:pBdr>
      <w:spacing w:line="280" w:lineRule="exact"/>
      <w:rPr>
        <w:rFonts w:ascii="宋体" w:hAnsi="宋体" w:cs="宋体"/>
      </w:rPr>
    </w:pPr>
    <w:r>
      <w:rPr>
        <w:rFonts w:hint="eastAsia" w:ascii="宋体" w:hAnsi="宋体" w:cs="宋体"/>
      </w:rPr>
      <w:t>江西赣昌安全生产科技服务有限公司</w:t>
    </w:r>
    <w:r>
      <w:rPr>
        <w:rFonts w:hint="eastAsia" w:ascii="宋体" w:hAnsi="宋体" w:cs="宋体"/>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53340</wp:posOffset>
              </wp:positionV>
              <wp:extent cx="323215" cy="163830"/>
              <wp:effectExtent l="0" t="0" r="0" b="0"/>
              <wp:wrapNone/>
              <wp:docPr id="7" name="文本框 1026"/>
              <wp:cNvGraphicFramePr/>
              <a:graphic xmlns:a="http://schemas.openxmlformats.org/drawingml/2006/main">
                <a:graphicData uri="http://schemas.microsoft.com/office/word/2010/wordprocessingShape">
                  <wps:wsp>
                    <wps:cNvSpPr txBox="1"/>
                    <wps:spPr>
                      <a:xfrm>
                        <a:off x="0" y="0"/>
                        <a:ext cx="323215" cy="163830"/>
                      </a:xfrm>
                      <a:prstGeom prst="rect">
                        <a:avLst/>
                      </a:prstGeom>
                      <a:noFill/>
                      <a:ln w="15875">
                        <a:noFill/>
                      </a:ln>
                    </wps:spPr>
                    <wps:txbx>
                      <w:txbxContent>
                        <w:p>
                          <w:pPr>
                            <w:pStyle w:val="18"/>
                          </w:pPr>
                          <w:r>
                            <w:fldChar w:fldCharType="begin"/>
                          </w:r>
                          <w:r>
                            <w:instrText xml:space="preserve"> PAGE  \* MERGEFORMAT </w:instrText>
                          </w:r>
                          <w:r>
                            <w:fldChar w:fldCharType="separate"/>
                          </w:r>
                          <w:r>
                            <w:t>6</w:t>
                          </w:r>
                          <w:r>
                            <w:fldChar w:fldCharType="end"/>
                          </w:r>
                        </w:p>
                      </w:txbxContent>
                    </wps:txbx>
                    <wps:bodyPr vert="horz" wrap="square" lIns="0" tIns="0" rIns="0" bIns="0" anchor="t" anchorCtr="0"/>
                  </wps:wsp>
                </a:graphicData>
              </a:graphic>
            </wp:anchor>
          </w:drawing>
        </mc:Choice>
        <mc:Fallback>
          <w:pict>
            <v:shape id="文本框 1026" o:spid="_x0000_s1026" o:spt="202" type="#_x0000_t202" style="position:absolute;left:0pt;margin-top:4.2pt;height:12.9pt;width:25.45pt;mso-position-horizontal:center;mso-position-horizontal-relative:margin;z-index:251661312;mso-width-relative:page;mso-height-relative:page;" filled="f" stroked="f" coordsize="21600,21600" o:gfxdata="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YP449QAAAAEAQAADwAAAAAA&#10;AAABACAAAAAiAAAAZHJzL2Rvd25yZXYueG1sUEsBAhQAFAAAAAgAh07iQOx/fY/eAQAApQMAAA4A&#10;AAAAAAAAAQAgAAAAIwEAAGRycy9lMm9Eb2MueG1sUEsFBgAAAAAGAAYAWQEAAHMFAAAAAA==&#10;">
              <v:fill on="f" focussize="0,0"/>
              <v:stroke on="f" weight="1.25pt"/>
              <v:imagedata o:title=""/>
              <o:lock v:ext="edit" aspectratio="f"/>
              <v:textbox inset="0mm,0mm,0mm,0mm">
                <w:txbxContent>
                  <w:p>
                    <w:pPr>
                      <w:pStyle w:val="18"/>
                    </w:pPr>
                    <w:r>
                      <w:fldChar w:fldCharType="begin"/>
                    </w:r>
                    <w:r>
                      <w:instrText xml:space="preserve"> PAGE  \* MERGEFORMAT </w:instrText>
                    </w:r>
                    <w:r>
                      <w:fldChar w:fldCharType="separate"/>
                    </w:r>
                    <w:r>
                      <w:t>6</w:t>
                    </w:r>
                    <w:r>
                      <w:fldChar w:fldCharType="end"/>
                    </w:r>
                  </w:p>
                </w:txbxContent>
              </v:textbox>
            </v:shape>
          </w:pict>
        </mc:Fallback>
      </mc:AlternateContent>
    </w:r>
    <w:r>
      <w:rPr>
        <w:rFonts w:hint="eastAsia" w:ascii="宋体" w:hAnsi="宋体" w:cs="宋体"/>
      </w:rPr>
      <w:t xml:space="preserve">                                                        APJ-(赣）-006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single" w:color="auto" w:sz="4" w:space="1"/>
      </w:pBdr>
      <w:spacing w:line="280" w:lineRule="exact"/>
      <w:rPr>
        <w:rFonts w:ascii="宋体" w:hAnsi="宋体" w:cs="宋体"/>
      </w:rPr>
    </w:pPr>
    <w:r>
      <w:rPr>
        <w:rFonts w:hint="eastAsia" w:ascii="宋体" w:hAnsi="宋体" w:cs="宋体"/>
      </w:rPr>
      <w:t>江西赣昌安全生产科技服务有限公司</w:t>
    </w:r>
    <w:r>
      <w:rPr>
        <w:rFonts w:hint="eastAsia" w:ascii="宋体" w:hAnsi="宋体" w:cs="宋体"/>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53340</wp:posOffset>
              </wp:positionV>
              <wp:extent cx="323215" cy="163830"/>
              <wp:effectExtent l="0" t="0" r="0" b="0"/>
              <wp:wrapNone/>
              <wp:docPr id="5" name="文本框 1026"/>
              <wp:cNvGraphicFramePr/>
              <a:graphic xmlns:a="http://schemas.openxmlformats.org/drawingml/2006/main">
                <a:graphicData uri="http://schemas.microsoft.com/office/word/2010/wordprocessingShape">
                  <wps:wsp>
                    <wps:cNvSpPr txBox="1"/>
                    <wps:spPr>
                      <a:xfrm>
                        <a:off x="0" y="0"/>
                        <a:ext cx="323215" cy="163830"/>
                      </a:xfrm>
                      <a:prstGeom prst="rect">
                        <a:avLst/>
                      </a:prstGeom>
                      <a:noFill/>
                      <a:ln w="15875">
                        <a:noFill/>
                      </a:ln>
                    </wps:spPr>
                    <wps:txbx>
                      <w:txbxContent>
                        <w:p>
                          <w:pPr>
                            <w:pStyle w:val="18"/>
                          </w:pPr>
                          <w:r>
                            <w:fldChar w:fldCharType="begin"/>
                          </w:r>
                          <w:r>
                            <w:instrText xml:space="preserve"> PAGE  \* MERGEFORMAT </w:instrText>
                          </w:r>
                          <w:r>
                            <w:fldChar w:fldCharType="separate"/>
                          </w:r>
                          <w:r>
                            <w:t>17</w:t>
                          </w:r>
                          <w:r>
                            <w:fldChar w:fldCharType="end"/>
                          </w:r>
                        </w:p>
                      </w:txbxContent>
                    </wps:txbx>
                    <wps:bodyPr vert="horz" wrap="square" lIns="0" tIns="0" rIns="0" bIns="0" anchor="t" anchorCtr="0"/>
                  </wps:wsp>
                </a:graphicData>
              </a:graphic>
            </wp:anchor>
          </w:drawing>
        </mc:Choice>
        <mc:Fallback>
          <w:pict>
            <v:shape id="文本框 1026" o:spid="_x0000_s1026" o:spt="202" type="#_x0000_t202" style="position:absolute;left:0pt;margin-top:4.2pt;height:12.9pt;width:25.45pt;mso-position-horizontal:center;mso-position-horizontal-relative:margin;z-index:251662336;mso-width-relative:page;mso-height-relative:page;" filled="f" stroked="f" coordsize="21600,21600" o:gfxdata="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BYP449QAAAAEAQAADwAAAAAA&#10;AAABACAAAAAiAAAAZHJzL2Rvd25yZXYueG1sUEsBAhQAFAAAAAgAh07iQI9XOWHeAQAApQMAAA4A&#10;AAAAAAAAAQAgAAAAIwEAAGRycy9lMm9Eb2MueG1sUEsFBgAAAAAGAAYAWQEAAHMFAAAAAA==&#10;">
              <v:fill on="f" focussize="0,0"/>
              <v:stroke on="f" weight="1.25pt"/>
              <v:imagedata o:title=""/>
              <o:lock v:ext="edit" aspectratio="f"/>
              <v:textbox inset="0mm,0mm,0mm,0mm">
                <w:txbxContent>
                  <w:p>
                    <w:pPr>
                      <w:pStyle w:val="18"/>
                    </w:pPr>
                    <w:r>
                      <w:fldChar w:fldCharType="begin"/>
                    </w:r>
                    <w:r>
                      <w:instrText xml:space="preserve"> PAGE  \* MERGEFORMAT </w:instrText>
                    </w:r>
                    <w:r>
                      <w:fldChar w:fldCharType="separate"/>
                    </w:r>
                    <w:r>
                      <w:t>17</w:t>
                    </w:r>
                    <w:r>
                      <w:fldChar w:fldCharType="end"/>
                    </w:r>
                  </w:p>
                </w:txbxContent>
              </v:textbox>
            </v:shape>
          </w:pict>
        </mc:Fallback>
      </mc:AlternateContent>
    </w: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APJ-(赣）-006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ind w:left="7830" w:hanging="7830" w:hangingChars="4350"/>
      <w:rPr>
        <w:color w:val="000000"/>
        <w:sz w:val="18"/>
        <w:szCs w:val="18"/>
      </w:rPr>
    </w:pPr>
    <w:r>
      <w:rPr>
        <w:rFonts w:hint="eastAsia" w:hAnsi="宋体"/>
        <w:color w:val="000000"/>
        <w:sz w:val="18"/>
        <w:szCs w:val="18"/>
      </w:rPr>
      <w:t xml:space="preserve">南昌市燃气集团有限公司洪北CNG油气合建站（加气站部分）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320" w:lineRule="exact"/>
      <w:rPr>
        <w:rFonts w:hint="eastAsia" w:ascii="宋体" w:hAnsi="宋体" w:cs="宋体"/>
        <w:color w:val="000000"/>
        <w:sz w:val="18"/>
        <w:szCs w:val="18"/>
      </w:rPr>
    </w:pPr>
    <w:r>
      <w:rPr>
        <w:rFonts w:hint="eastAsia" w:ascii="宋体" w:hAnsi="宋体" w:cs="宋体"/>
        <w:sz w:val="18"/>
        <w:szCs w:val="18"/>
        <w:lang w:val="zh-CN"/>
      </w:rPr>
      <w:t>江西乾照光电有限公司（氨回收装置）安全</w:t>
    </w:r>
    <w:r>
      <w:rPr>
        <w:rFonts w:hint="eastAsia" w:ascii="宋体" w:hAnsi="宋体" w:cs="宋体"/>
        <w:sz w:val="18"/>
        <w:szCs w:val="18"/>
      </w:rPr>
      <w:t>现状</w:t>
    </w:r>
    <w:r>
      <w:rPr>
        <w:rFonts w:hint="eastAsia" w:ascii="宋体" w:hAnsi="宋体" w:cs="宋体"/>
        <w:sz w:val="18"/>
        <w:szCs w:val="18"/>
        <w:lang w:val="zh-CN"/>
      </w:rPr>
      <w:t>评价报告</w:t>
    </w:r>
    <w:r>
      <w:rPr>
        <w:rFonts w:hint="eastAsia" w:ascii="宋体" w:hAnsi="宋体" w:cs="宋体"/>
        <w:sz w:val="18"/>
        <w:szCs w:val="18"/>
      </w:rPr>
      <w:t xml:space="preserve">                </w:t>
    </w:r>
    <w:r>
      <w:rPr>
        <w:rFonts w:hint="eastAsia" w:ascii="宋体" w:hAnsi="宋体" w:cs="宋体"/>
        <w:sz w:val="18"/>
        <w:szCs w:val="18"/>
        <w:lang w:val="en-US" w:eastAsia="zh-CN"/>
      </w:rPr>
      <w:t xml:space="preserve">           </w:t>
    </w:r>
    <w:r>
      <w:rPr>
        <w:rFonts w:hint="eastAsia" w:ascii="宋体" w:hAnsi="宋体" w:cs="宋体"/>
        <w:sz w:val="18"/>
        <w:szCs w:val="18"/>
      </w:rPr>
      <w:t xml:space="preserve">        GCAP[2022]150号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decimal"/>
      <w:lvlText w:val="%1）"/>
      <w:lvlJc w:val="left"/>
      <w:pPr>
        <w:ind w:left="1425" w:hanging="420"/>
      </w:pPr>
      <w:rPr>
        <w:rFonts w:ascii="Times New Roman" w:hAnsi="Times New Roman" w:eastAsia="Times New Roman" w:cs="Times New Roman"/>
        <w:color w:val="000000"/>
      </w:rPr>
    </w:lvl>
    <w:lvl w:ilvl="1" w:tentative="0">
      <w:start w:val="1"/>
      <w:numFmt w:val="lowerLetter"/>
      <w:lvlText w:val="%2)"/>
      <w:lvlJc w:val="left"/>
      <w:pPr>
        <w:ind w:left="1845" w:hanging="420"/>
      </w:pPr>
    </w:lvl>
    <w:lvl w:ilvl="2" w:tentative="0">
      <w:start w:val="1"/>
      <w:numFmt w:val="lowerRoman"/>
      <w:lvlText w:val="%3."/>
      <w:lvlJc w:val="right"/>
      <w:pPr>
        <w:ind w:left="2265" w:hanging="420"/>
      </w:pPr>
    </w:lvl>
    <w:lvl w:ilvl="3" w:tentative="0">
      <w:start w:val="1"/>
      <w:numFmt w:val="decimal"/>
      <w:lvlText w:val="%4."/>
      <w:lvlJc w:val="left"/>
      <w:pPr>
        <w:ind w:left="2685" w:hanging="420"/>
      </w:pPr>
    </w:lvl>
    <w:lvl w:ilvl="4" w:tentative="0">
      <w:start w:val="1"/>
      <w:numFmt w:val="lowerLetter"/>
      <w:lvlText w:val="%5)"/>
      <w:lvlJc w:val="left"/>
      <w:pPr>
        <w:ind w:left="3105" w:hanging="420"/>
      </w:pPr>
    </w:lvl>
    <w:lvl w:ilvl="5" w:tentative="0">
      <w:start w:val="1"/>
      <w:numFmt w:val="lowerRoman"/>
      <w:lvlText w:val="%6."/>
      <w:lvlJc w:val="right"/>
      <w:pPr>
        <w:ind w:left="3525" w:hanging="420"/>
      </w:pPr>
    </w:lvl>
    <w:lvl w:ilvl="6" w:tentative="0">
      <w:start w:val="1"/>
      <w:numFmt w:val="decimal"/>
      <w:lvlText w:val="%7."/>
      <w:lvlJc w:val="left"/>
      <w:pPr>
        <w:ind w:left="3945" w:hanging="420"/>
      </w:pPr>
    </w:lvl>
    <w:lvl w:ilvl="7" w:tentative="0">
      <w:start w:val="1"/>
      <w:numFmt w:val="lowerLetter"/>
      <w:lvlText w:val="%8)"/>
      <w:lvlJc w:val="left"/>
      <w:pPr>
        <w:ind w:left="4365" w:hanging="420"/>
      </w:pPr>
    </w:lvl>
    <w:lvl w:ilvl="8" w:tentative="0">
      <w:start w:val="1"/>
      <w:numFmt w:val="lowerRoman"/>
      <w:lvlText w:val="%9."/>
      <w:lvlJc w:val="right"/>
      <w:pPr>
        <w:ind w:left="4785" w:hanging="420"/>
      </w:pPr>
    </w:lvl>
  </w:abstractNum>
  <w:abstractNum w:abstractNumId="1">
    <w:nsid w:val="0D12DF9C"/>
    <w:multiLevelType w:val="singleLevel"/>
    <w:tmpl w:val="0D12DF9C"/>
    <w:lvl w:ilvl="0" w:tentative="0">
      <w:start w:val="4"/>
      <w:numFmt w:val="decimal"/>
      <w:suff w:val="nothing"/>
      <w:lvlText w:val="%1）"/>
      <w:lvlJc w:val="left"/>
    </w:lvl>
  </w:abstractNum>
  <w:abstractNum w:abstractNumId="2">
    <w:nsid w:val="5624A458"/>
    <w:multiLevelType w:val="singleLevel"/>
    <w:tmpl w:val="5624A458"/>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yMmU0NjE0ZDZlYmUxZDI1NjFmNjBhMTkyZDUzOGEifQ=="/>
  </w:docVars>
  <w:rsids>
    <w:rsidRoot w:val="22B3527B"/>
    <w:rsid w:val="000606CC"/>
    <w:rsid w:val="00120EEE"/>
    <w:rsid w:val="001E1F75"/>
    <w:rsid w:val="0022497A"/>
    <w:rsid w:val="003274FA"/>
    <w:rsid w:val="00470BE7"/>
    <w:rsid w:val="004C252C"/>
    <w:rsid w:val="004F6BE7"/>
    <w:rsid w:val="00576720"/>
    <w:rsid w:val="005828D2"/>
    <w:rsid w:val="00670DFC"/>
    <w:rsid w:val="006747F3"/>
    <w:rsid w:val="006C248C"/>
    <w:rsid w:val="007018CA"/>
    <w:rsid w:val="007062C6"/>
    <w:rsid w:val="007A1DC9"/>
    <w:rsid w:val="007B392F"/>
    <w:rsid w:val="007D6B26"/>
    <w:rsid w:val="00800402"/>
    <w:rsid w:val="008160BD"/>
    <w:rsid w:val="00824F77"/>
    <w:rsid w:val="008A1779"/>
    <w:rsid w:val="009A06E8"/>
    <w:rsid w:val="00A10397"/>
    <w:rsid w:val="00AD0262"/>
    <w:rsid w:val="00C13691"/>
    <w:rsid w:val="00C82CD7"/>
    <w:rsid w:val="00D032ED"/>
    <w:rsid w:val="00D634F8"/>
    <w:rsid w:val="00DC1775"/>
    <w:rsid w:val="00DD1014"/>
    <w:rsid w:val="00E070DB"/>
    <w:rsid w:val="00E43B07"/>
    <w:rsid w:val="00EC03A4"/>
    <w:rsid w:val="00F05477"/>
    <w:rsid w:val="00F561F9"/>
    <w:rsid w:val="00F84013"/>
    <w:rsid w:val="011354E9"/>
    <w:rsid w:val="024C4105"/>
    <w:rsid w:val="026D5C3B"/>
    <w:rsid w:val="02FD29DD"/>
    <w:rsid w:val="031A1A48"/>
    <w:rsid w:val="032D29B2"/>
    <w:rsid w:val="03EE081C"/>
    <w:rsid w:val="04910C4A"/>
    <w:rsid w:val="04C95EF8"/>
    <w:rsid w:val="0508345C"/>
    <w:rsid w:val="060330AB"/>
    <w:rsid w:val="061C3F4A"/>
    <w:rsid w:val="062C665C"/>
    <w:rsid w:val="06872F1A"/>
    <w:rsid w:val="071A32A1"/>
    <w:rsid w:val="076B666C"/>
    <w:rsid w:val="07A46AB5"/>
    <w:rsid w:val="07E24115"/>
    <w:rsid w:val="07FB307F"/>
    <w:rsid w:val="081D65A9"/>
    <w:rsid w:val="09213D29"/>
    <w:rsid w:val="095C015B"/>
    <w:rsid w:val="0A037FC9"/>
    <w:rsid w:val="0A557FD9"/>
    <w:rsid w:val="0ADD081A"/>
    <w:rsid w:val="0B0F3643"/>
    <w:rsid w:val="0B415214"/>
    <w:rsid w:val="0C0E17A4"/>
    <w:rsid w:val="0C4D4441"/>
    <w:rsid w:val="0D997FD7"/>
    <w:rsid w:val="0DC911D8"/>
    <w:rsid w:val="0E107847"/>
    <w:rsid w:val="0E1D34CA"/>
    <w:rsid w:val="0E743017"/>
    <w:rsid w:val="0F124B87"/>
    <w:rsid w:val="0FD343EF"/>
    <w:rsid w:val="10526171"/>
    <w:rsid w:val="109D25F1"/>
    <w:rsid w:val="10CF520E"/>
    <w:rsid w:val="11041662"/>
    <w:rsid w:val="11367DC2"/>
    <w:rsid w:val="119D51A7"/>
    <w:rsid w:val="11FD0FD3"/>
    <w:rsid w:val="120F7162"/>
    <w:rsid w:val="12406D25"/>
    <w:rsid w:val="12791770"/>
    <w:rsid w:val="12EF736D"/>
    <w:rsid w:val="1328040A"/>
    <w:rsid w:val="13DF3855"/>
    <w:rsid w:val="14221D99"/>
    <w:rsid w:val="14D855F4"/>
    <w:rsid w:val="151D5271"/>
    <w:rsid w:val="15440CF6"/>
    <w:rsid w:val="156758B0"/>
    <w:rsid w:val="157C4EFC"/>
    <w:rsid w:val="15AA594F"/>
    <w:rsid w:val="15E805F7"/>
    <w:rsid w:val="163E6BDE"/>
    <w:rsid w:val="1666025D"/>
    <w:rsid w:val="17E94D8E"/>
    <w:rsid w:val="18003D99"/>
    <w:rsid w:val="184E71FB"/>
    <w:rsid w:val="1985256E"/>
    <w:rsid w:val="19F80C87"/>
    <w:rsid w:val="1A377130"/>
    <w:rsid w:val="1A746268"/>
    <w:rsid w:val="1B4410ED"/>
    <w:rsid w:val="1BC31CAE"/>
    <w:rsid w:val="1D854C2A"/>
    <w:rsid w:val="1DEC0918"/>
    <w:rsid w:val="1DF72121"/>
    <w:rsid w:val="1E6952A5"/>
    <w:rsid w:val="1E7E4570"/>
    <w:rsid w:val="1EBE653C"/>
    <w:rsid w:val="1ECF7391"/>
    <w:rsid w:val="1F6F66CD"/>
    <w:rsid w:val="206B2C01"/>
    <w:rsid w:val="21154D11"/>
    <w:rsid w:val="212B27B8"/>
    <w:rsid w:val="213276BA"/>
    <w:rsid w:val="21BB138A"/>
    <w:rsid w:val="21E10BB3"/>
    <w:rsid w:val="22186D6C"/>
    <w:rsid w:val="22B3527B"/>
    <w:rsid w:val="22C9387A"/>
    <w:rsid w:val="22E32458"/>
    <w:rsid w:val="244376D5"/>
    <w:rsid w:val="244A4D1A"/>
    <w:rsid w:val="24586C0A"/>
    <w:rsid w:val="24EE69F0"/>
    <w:rsid w:val="2530284B"/>
    <w:rsid w:val="257B2908"/>
    <w:rsid w:val="25AE6C5D"/>
    <w:rsid w:val="26637A4B"/>
    <w:rsid w:val="26642685"/>
    <w:rsid w:val="26DF701C"/>
    <w:rsid w:val="26F64A0E"/>
    <w:rsid w:val="273E147C"/>
    <w:rsid w:val="27497E64"/>
    <w:rsid w:val="275A1718"/>
    <w:rsid w:val="275B723E"/>
    <w:rsid w:val="27632F91"/>
    <w:rsid w:val="27E26811"/>
    <w:rsid w:val="2813387F"/>
    <w:rsid w:val="282709AF"/>
    <w:rsid w:val="284B1061"/>
    <w:rsid w:val="2A0B6A53"/>
    <w:rsid w:val="2AC71367"/>
    <w:rsid w:val="2BC01D66"/>
    <w:rsid w:val="2BE23C98"/>
    <w:rsid w:val="2CAE4A5E"/>
    <w:rsid w:val="2D503131"/>
    <w:rsid w:val="2D6A5680"/>
    <w:rsid w:val="2ECC1C2F"/>
    <w:rsid w:val="2F460C28"/>
    <w:rsid w:val="2F64605A"/>
    <w:rsid w:val="2FA73070"/>
    <w:rsid w:val="309C1378"/>
    <w:rsid w:val="30BA4FD6"/>
    <w:rsid w:val="30F57DBC"/>
    <w:rsid w:val="317A172A"/>
    <w:rsid w:val="3183186B"/>
    <w:rsid w:val="32FC1338"/>
    <w:rsid w:val="336C65BF"/>
    <w:rsid w:val="33A90F40"/>
    <w:rsid w:val="33C16C75"/>
    <w:rsid w:val="33D859B1"/>
    <w:rsid w:val="3416114E"/>
    <w:rsid w:val="345405EB"/>
    <w:rsid w:val="34742735"/>
    <w:rsid w:val="353B3065"/>
    <w:rsid w:val="35855FFF"/>
    <w:rsid w:val="365810C6"/>
    <w:rsid w:val="367814CE"/>
    <w:rsid w:val="36A905C1"/>
    <w:rsid w:val="36A953C8"/>
    <w:rsid w:val="36B03FF9"/>
    <w:rsid w:val="36CC017F"/>
    <w:rsid w:val="37742ACA"/>
    <w:rsid w:val="393022D9"/>
    <w:rsid w:val="39341F7D"/>
    <w:rsid w:val="39A04924"/>
    <w:rsid w:val="3A270418"/>
    <w:rsid w:val="3AA51419"/>
    <w:rsid w:val="3AA528ED"/>
    <w:rsid w:val="3AC60A30"/>
    <w:rsid w:val="3B232A34"/>
    <w:rsid w:val="3BD63A3F"/>
    <w:rsid w:val="3BFF356D"/>
    <w:rsid w:val="3C1A2DCC"/>
    <w:rsid w:val="3CBE17E1"/>
    <w:rsid w:val="3CC55A87"/>
    <w:rsid w:val="3CDE029E"/>
    <w:rsid w:val="3D297BED"/>
    <w:rsid w:val="3D3A2CD4"/>
    <w:rsid w:val="3D617D49"/>
    <w:rsid w:val="3D7C2255"/>
    <w:rsid w:val="3EB63CE6"/>
    <w:rsid w:val="3F873E13"/>
    <w:rsid w:val="40692574"/>
    <w:rsid w:val="40BB6C9A"/>
    <w:rsid w:val="419D52B7"/>
    <w:rsid w:val="42611755"/>
    <w:rsid w:val="430B6482"/>
    <w:rsid w:val="43530A9E"/>
    <w:rsid w:val="43F36DB1"/>
    <w:rsid w:val="446944B7"/>
    <w:rsid w:val="447C4644"/>
    <w:rsid w:val="449000D0"/>
    <w:rsid w:val="45F47AC3"/>
    <w:rsid w:val="45F54443"/>
    <w:rsid w:val="46A72843"/>
    <w:rsid w:val="47F95160"/>
    <w:rsid w:val="483543D5"/>
    <w:rsid w:val="489B642C"/>
    <w:rsid w:val="48BF25FF"/>
    <w:rsid w:val="49642969"/>
    <w:rsid w:val="49D718E6"/>
    <w:rsid w:val="4BFB7438"/>
    <w:rsid w:val="4D7F3AD4"/>
    <w:rsid w:val="4D843DE7"/>
    <w:rsid w:val="4E26712F"/>
    <w:rsid w:val="4EC07FC0"/>
    <w:rsid w:val="4EDE4F24"/>
    <w:rsid w:val="4F0A666B"/>
    <w:rsid w:val="4F166805"/>
    <w:rsid w:val="4F510C9F"/>
    <w:rsid w:val="4F59679D"/>
    <w:rsid w:val="4FAF51AA"/>
    <w:rsid w:val="4FB62C26"/>
    <w:rsid w:val="4FDA66A3"/>
    <w:rsid w:val="503B37DA"/>
    <w:rsid w:val="510D2491"/>
    <w:rsid w:val="5122044E"/>
    <w:rsid w:val="512E150F"/>
    <w:rsid w:val="51336B2A"/>
    <w:rsid w:val="51597A9B"/>
    <w:rsid w:val="51712933"/>
    <w:rsid w:val="52707792"/>
    <w:rsid w:val="532D6608"/>
    <w:rsid w:val="532F3E33"/>
    <w:rsid w:val="538402BF"/>
    <w:rsid w:val="549A52B6"/>
    <w:rsid w:val="54C60781"/>
    <w:rsid w:val="54C60EA7"/>
    <w:rsid w:val="550334E7"/>
    <w:rsid w:val="55296B70"/>
    <w:rsid w:val="56237AC5"/>
    <w:rsid w:val="57176DE5"/>
    <w:rsid w:val="57266AB3"/>
    <w:rsid w:val="574E0015"/>
    <w:rsid w:val="57F205BA"/>
    <w:rsid w:val="57F57A96"/>
    <w:rsid w:val="58017E37"/>
    <w:rsid w:val="58AC38E3"/>
    <w:rsid w:val="5A0150BE"/>
    <w:rsid w:val="5A0A5DD6"/>
    <w:rsid w:val="5A4273CB"/>
    <w:rsid w:val="5A5D1E42"/>
    <w:rsid w:val="5ADA4BF2"/>
    <w:rsid w:val="5CF76AE6"/>
    <w:rsid w:val="5D381420"/>
    <w:rsid w:val="5D663C6C"/>
    <w:rsid w:val="5DCF7A63"/>
    <w:rsid w:val="5DDE0416"/>
    <w:rsid w:val="5F115952"/>
    <w:rsid w:val="5F36189D"/>
    <w:rsid w:val="5F432FC5"/>
    <w:rsid w:val="6017783F"/>
    <w:rsid w:val="60E170ED"/>
    <w:rsid w:val="60FE56F0"/>
    <w:rsid w:val="61353281"/>
    <w:rsid w:val="61E3588B"/>
    <w:rsid w:val="6231002D"/>
    <w:rsid w:val="6280553C"/>
    <w:rsid w:val="62E739E8"/>
    <w:rsid w:val="62EE4B56"/>
    <w:rsid w:val="63630ACF"/>
    <w:rsid w:val="641F37BD"/>
    <w:rsid w:val="642C58D0"/>
    <w:rsid w:val="65090D92"/>
    <w:rsid w:val="65D10B2F"/>
    <w:rsid w:val="660D0B9F"/>
    <w:rsid w:val="665E7BD6"/>
    <w:rsid w:val="668D5F67"/>
    <w:rsid w:val="66AA03D9"/>
    <w:rsid w:val="66F05671"/>
    <w:rsid w:val="673D4F1C"/>
    <w:rsid w:val="67542132"/>
    <w:rsid w:val="679D4D57"/>
    <w:rsid w:val="67CC0B6F"/>
    <w:rsid w:val="68147334"/>
    <w:rsid w:val="68572713"/>
    <w:rsid w:val="68AB3E50"/>
    <w:rsid w:val="68BF62FB"/>
    <w:rsid w:val="691A13E6"/>
    <w:rsid w:val="69482477"/>
    <w:rsid w:val="69B42199"/>
    <w:rsid w:val="69CA05AB"/>
    <w:rsid w:val="6A03390C"/>
    <w:rsid w:val="6AC975E8"/>
    <w:rsid w:val="6B120F8F"/>
    <w:rsid w:val="6B1B6095"/>
    <w:rsid w:val="6B621F16"/>
    <w:rsid w:val="6BB57C94"/>
    <w:rsid w:val="6BBA7230"/>
    <w:rsid w:val="6C6770B8"/>
    <w:rsid w:val="6CDE4B67"/>
    <w:rsid w:val="6CEA54EF"/>
    <w:rsid w:val="6CFA6FC8"/>
    <w:rsid w:val="6D6A3EF5"/>
    <w:rsid w:val="6D940CA1"/>
    <w:rsid w:val="6DF36526"/>
    <w:rsid w:val="6E1D523D"/>
    <w:rsid w:val="6E3622F9"/>
    <w:rsid w:val="6E6B7334"/>
    <w:rsid w:val="6F8F1CB6"/>
    <w:rsid w:val="6F9E6B04"/>
    <w:rsid w:val="700D7F77"/>
    <w:rsid w:val="704F4B71"/>
    <w:rsid w:val="707833EC"/>
    <w:rsid w:val="717209D9"/>
    <w:rsid w:val="718F5E24"/>
    <w:rsid w:val="71B135F8"/>
    <w:rsid w:val="72134E73"/>
    <w:rsid w:val="72841037"/>
    <w:rsid w:val="72C9287B"/>
    <w:rsid w:val="72F35899"/>
    <w:rsid w:val="735C4CC1"/>
    <w:rsid w:val="737B1B12"/>
    <w:rsid w:val="7399169B"/>
    <w:rsid w:val="73F2211E"/>
    <w:rsid w:val="74130512"/>
    <w:rsid w:val="74311E18"/>
    <w:rsid w:val="74333C02"/>
    <w:rsid w:val="74C22809"/>
    <w:rsid w:val="74F25133"/>
    <w:rsid w:val="75656EB9"/>
    <w:rsid w:val="75844805"/>
    <w:rsid w:val="75B50420"/>
    <w:rsid w:val="75FB71EF"/>
    <w:rsid w:val="76526C52"/>
    <w:rsid w:val="766F21D5"/>
    <w:rsid w:val="76C74B4A"/>
    <w:rsid w:val="778620B8"/>
    <w:rsid w:val="779E5E0D"/>
    <w:rsid w:val="78F460BD"/>
    <w:rsid w:val="79137C2A"/>
    <w:rsid w:val="793903C2"/>
    <w:rsid w:val="7A29730E"/>
    <w:rsid w:val="7ADD3367"/>
    <w:rsid w:val="7B4F58E7"/>
    <w:rsid w:val="7B825CBD"/>
    <w:rsid w:val="7BA562F0"/>
    <w:rsid w:val="7BBF7C7C"/>
    <w:rsid w:val="7BDC361F"/>
    <w:rsid w:val="7C2032FD"/>
    <w:rsid w:val="7C3B4CBE"/>
    <w:rsid w:val="7C7910EF"/>
    <w:rsid w:val="7CC055D3"/>
    <w:rsid w:val="7D5649A2"/>
    <w:rsid w:val="7D9C44D0"/>
    <w:rsid w:val="7DC4400F"/>
    <w:rsid w:val="7E7A4B80"/>
    <w:rsid w:val="7EDC6858"/>
    <w:rsid w:val="7F8C5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8"/>
      <w:szCs w:val="24"/>
      <w:lang w:val="en-US" w:eastAsia="zh-CN" w:bidi="ar-SA"/>
    </w:rPr>
  </w:style>
  <w:style w:type="paragraph" w:styleId="3">
    <w:name w:val="heading 1"/>
    <w:basedOn w:val="1"/>
    <w:next w:val="1"/>
    <w:link w:val="38"/>
    <w:qFormat/>
    <w:uiPriority w:val="0"/>
    <w:pPr>
      <w:keepNext/>
      <w:keepLines/>
      <w:jc w:val="center"/>
      <w:outlineLvl w:val="0"/>
    </w:pPr>
    <w:rPr>
      <w:rFonts w:eastAsia="黑体"/>
      <w:b/>
      <w:bCs/>
      <w:kern w:val="44"/>
      <w:sz w:val="32"/>
      <w:szCs w:val="44"/>
    </w:rPr>
  </w:style>
  <w:style w:type="paragraph" w:styleId="4">
    <w:name w:val="heading 2"/>
    <w:basedOn w:val="1"/>
    <w:next w:val="1"/>
    <w:qFormat/>
    <w:uiPriority w:val="0"/>
    <w:pPr>
      <w:keepNext/>
      <w:keepLines/>
      <w:jc w:val="center"/>
      <w:outlineLvl w:val="1"/>
    </w:pPr>
    <w:rPr>
      <w:rFonts w:ascii="Cambria" w:hAnsi="Cambria" w:eastAsia="楷体_GB2312"/>
      <w:b/>
      <w:bCs/>
      <w:sz w:val="32"/>
      <w:szCs w:val="32"/>
    </w:rPr>
  </w:style>
  <w:style w:type="paragraph" w:styleId="5">
    <w:name w:val="heading 3"/>
    <w:basedOn w:val="1"/>
    <w:next w:val="1"/>
    <w:qFormat/>
    <w:uiPriority w:val="0"/>
    <w:pPr>
      <w:keepNext/>
      <w:keepLines/>
      <w:jc w:val="center"/>
      <w:outlineLvl w:val="2"/>
    </w:pPr>
    <w:rPr>
      <w:rFonts w:ascii="宋体" w:hAnsi="宋体" w:eastAsia="黑体"/>
      <w:b/>
      <w:bCs/>
      <w:szCs w:val="32"/>
    </w:rPr>
  </w:style>
  <w:style w:type="paragraph" w:styleId="6">
    <w:name w:val="heading 4"/>
    <w:basedOn w:val="1"/>
    <w:next w:val="1"/>
    <w:qFormat/>
    <w:uiPriority w:val="99"/>
    <w:pPr>
      <w:keepNext/>
      <w:keepLines/>
      <w:jc w:val="left"/>
      <w:outlineLvl w:val="3"/>
    </w:pPr>
    <w:rPr>
      <w:rFonts w:hAnsi="Cambria"/>
      <w:b/>
      <w:bCs/>
      <w:szCs w:val="28"/>
    </w:rPr>
  </w:style>
  <w:style w:type="paragraph" w:styleId="7">
    <w:name w:val="heading 9"/>
    <w:basedOn w:val="1"/>
    <w:next w:val="1"/>
    <w:unhideWhenUsed/>
    <w:qFormat/>
    <w:uiPriority w:val="0"/>
    <w:pPr>
      <w:keepNext/>
      <w:keepLines/>
      <w:spacing w:before="240" w:after="64" w:line="317" w:lineRule="auto"/>
      <w:outlineLvl w:val="8"/>
    </w:pPr>
    <w:rPr>
      <w:rFonts w:ascii="Arial" w:hAnsi="Arial" w:eastAsia="黑体"/>
      <w:sz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样式 10 磅"/>
    <w:qFormat/>
    <w:uiPriority w:val="99"/>
    <w:pPr>
      <w:widowControl w:val="0"/>
      <w:jc w:val="both"/>
    </w:pPr>
    <w:rPr>
      <w:rFonts w:ascii="Times New Roman" w:hAnsi="Times New Roman" w:eastAsia="宋体" w:cs="Times New Roman"/>
      <w:kern w:val="2"/>
      <w:sz w:val="21"/>
      <w:szCs w:val="21"/>
      <w:lang w:val="en-US" w:eastAsia="zh-CN" w:bidi="ar-SA"/>
    </w:rPr>
  </w:style>
  <w:style w:type="paragraph" w:styleId="8">
    <w:name w:val="Normal Indent"/>
    <w:basedOn w:val="1"/>
    <w:qFormat/>
    <w:uiPriority w:val="0"/>
    <w:pPr>
      <w:widowControl/>
      <w:spacing w:before="100" w:beforeAutospacing="1" w:after="100" w:afterAutospacing="1"/>
      <w:jc w:val="left"/>
    </w:pPr>
    <w:rPr>
      <w:rFonts w:ascii="宋体" w:hAnsi="宋体"/>
      <w:kern w:val="0"/>
      <w:sz w:val="24"/>
    </w:rPr>
  </w:style>
  <w:style w:type="paragraph" w:styleId="9">
    <w:name w:val="annotation text"/>
    <w:basedOn w:val="1"/>
    <w:link w:val="70"/>
    <w:qFormat/>
    <w:uiPriority w:val="0"/>
    <w:pPr>
      <w:jc w:val="left"/>
    </w:pPr>
  </w:style>
  <w:style w:type="paragraph" w:styleId="10">
    <w:name w:val="Body Text"/>
    <w:basedOn w:val="1"/>
    <w:qFormat/>
    <w:uiPriority w:val="0"/>
  </w:style>
  <w:style w:type="paragraph" w:styleId="11">
    <w:name w:val="Body Text Indent"/>
    <w:basedOn w:val="1"/>
    <w:next w:val="12"/>
    <w:qFormat/>
    <w:uiPriority w:val="0"/>
    <w:pPr>
      <w:ind w:firstLine="630" w:firstLineChars="225"/>
    </w:pPr>
  </w:style>
  <w:style w:type="paragraph" w:styleId="12">
    <w:name w:val="Body Text First Indent 2"/>
    <w:basedOn w:val="11"/>
    <w:next w:val="13"/>
    <w:qFormat/>
    <w:uiPriority w:val="0"/>
    <w:pPr>
      <w:tabs>
        <w:tab w:val="left" w:pos="0"/>
        <w:tab w:val="left" w:pos="870"/>
        <w:tab w:val="left" w:pos="3150"/>
      </w:tabs>
      <w:autoSpaceDE w:val="0"/>
      <w:autoSpaceDN w:val="0"/>
      <w:adjustRightInd w:val="0"/>
      <w:ind w:firstLine="527" w:firstLineChars="0"/>
    </w:pPr>
    <w:rPr>
      <w:rFonts w:ascii="宋体"/>
      <w:sz w:val="24"/>
      <w:szCs w:val="20"/>
    </w:rPr>
  </w:style>
  <w:style w:type="paragraph" w:styleId="13">
    <w:name w:val="Body Text First Indent"/>
    <w:basedOn w:val="10"/>
    <w:next w:val="1"/>
    <w:qFormat/>
    <w:uiPriority w:val="0"/>
    <w:pPr>
      <w:spacing w:after="120"/>
      <w:ind w:firstLine="420" w:firstLineChars="100"/>
    </w:pPr>
    <w:rPr>
      <w:rFonts w:ascii="Verdana" w:hAnsi="Verdana"/>
      <w:sz w:val="21"/>
      <w:lang w:eastAsia="en-US"/>
    </w:rPr>
  </w:style>
  <w:style w:type="paragraph" w:styleId="14">
    <w:name w:val="Plain Text"/>
    <w:basedOn w:val="1"/>
    <w:qFormat/>
    <w:uiPriority w:val="0"/>
    <w:rPr>
      <w:rFonts w:ascii="宋体" w:hAnsi="Courier New"/>
      <w:szCs w:val="21"/>
    </w:rPr>
  </w:style>
  <w:style w:type="paragraph" w:styleId="15">
    <w:name w:val="Date"/>
    <w:basedOn w:val="1"/>
    <w:next w:val="1"/>
    <w:qFormat/>
    <w:uiPriority w:val="0"/>
    <w:pPr>
      <w:ind w:left="100" w:leftChars="2500"/>
    </w:pPr>
    <w:rPr>
      <w:rFonts w:ascii="宋体" w:hAnsi="宋体"/>
      <w:b/>
      <w:bCs/>
      <w:color w:val="000000"/>
    </w:rPr>
  </w:style>
  <w:style w:type="paragraph" w:styleId="16">
    <w:name w:val="Body Text Indent 2"/>
    <w:basedOn w:val="1"/>
    <w:next w:val="1"/>
    <w:qFormat/>
    <w:uiPriority w:val="0"/>
    <w:pPr>
      <w:adjustRightInd w:val="0"/>
      <w:snapToGrid w:val="0"/>
      <w:ind w:firstLine="480" w:firstLineChars="200"/>
    </w:pPr>
    <w:rPr>
      <w:rFonts w:ascii="宋体" w:hAnsi="宋体"/>
      <w:color w:val="FF0000"/>
      <w:sz w:val="24"/>
    </w:rPr>
  </w:style>
  <w:style w:type="paragraph" w:styleId="17">
    <w:name w:val="Balloon Text"/>
    <w:basedOn w:val="1"/>
    <w:link w:val="72"/>
    <w:qFormat/>
    <w:uiPriority w:val="0"/>
    <w:pPr>
      <w:spacing w:line="240" w:lineRule="auto"/>
    </w:pPr>
    <w:rPr>
      <w:sz w:val="18"/>
      <w:szCs w:val="18"/>
    </w:rPr>
  </w:style>
  <w:style w:type="paragraph" w:styleId="18">
    <w:name w:val="footer"/>
    <w:basedOn w:val="1"/>
    <w:next w:val="19"/>
    <w:qFormat/>
    <w:uiPriority w:val="0"/>
    <w:pPr>
      <w:tabs>
        <w:tab w:val="center" w:pos="4153"/>
        <w:tab w:val="right" w:pos="8306"/>
      </w:tabs>
      <w:snapToGrid w:val="0"/>
      <w:jc w:val="left"/>
    </w:pPr>
    <w:rPr>
      <w:sz w:val="18"/>
    </w:rPr>
  </w:style>
  <w:style w:type="paragraph" w:styleId="19">
    <w:name w:val="Normal (Web)"/>
    <w:basedOn w:val="1"/>
    <w:next w:val="20"/>
    <w:qFormat/>
    <w:uiPriority w:val="0"/>
    <w:pPr>
      <w:widowControl/>
      <w:spacing w:before="100" w:beforeAutospacing="1" w:after="100" w:afterAutospacing="1"/>
      <w:jc w:val="left"/>
    </w:pPr>
    <w:rPr>
      <w:rFonts w:ascii="宋体" w:hAnsi="宋体"/>
      <w:kern w:val="0"/>
      <w:sz w:val="24"/>
    </w:rPr>
  </w:style>
  <w:style w:type="paragraph" w:customStyle="1" w:styleId="20">
    <w:name w:val="toc 84"/>
    <w:next w:val="1"/>
    <w:qFormat/>
    <w:uiPriority w:val="99"/>
    <w:pPr>
      <w:wordWrap w:val="0"/>
      <w:ind w:left="2975"/>
      <w:jc w:val="both"/>
    </w:pPr>
    <w:rPr>
      <w:rFonts w:ascii="宋体" w:hAnsi="Calibri" w:eastAsia="宋体" w:cs="宋体"/>
      <w:sz w:val="21"/>
      <w:szCs w:val="21"/>
      <w:lang w:val="en-US" w:eastAsia="zh-CN" w:bidi="ar-SA"/>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2">
    <w:name w:val="toc 1"/>
    <w:basedOn w:val="1"/>
    <w:next w:val="1"/>
    <w:qFormat/>
    <w:uiPriority w:val="39"/>
  </w:style>
  <w:style w:type="paragraph" w:styleId="23">
    <w:name w:val="Body Text Indent 3"/>
    <w:basedOn w:val="1"/>
    <w:qFormat/>
    <w:uiPriority w:val="0"/>
    <w:pPr>
      <w:ind w:firstLine="630"/>
    </w:pPr>
    <w:rPr>
      <w:sz w:val="24"/>
    </w:rPr>
  </w:style>
  <w:style w:type="paragraph" w:styleId="24">
    <w:name w:val="toc 2"/>
    <w:basedOn w:val="1"/>
    <w:next w:val="1"/>
    <w:qFormat/>
    <w:uiPriority w:val="39"/>
    <w:pPr>
      <w:ind w:left="420" w:leftChars="200"/>
    </w:pPr>
  </w:style>
  <w:style w:type="paragraph" w:styleId="2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paragraph" w:styleId="26">
    <w:name w:val="Title"/>
    <w:basedOn w:val="1"/>
    <w:next w:val="1"/>
    <w:qFormat/>
    <w:uiPriority w:val="0"/>
    <w:pPr>
      <w:spacing w:before="840" w:after="100" w:afterAutospacing="1"/>
      <w:jc w:val="center"/>
      <w:outlineLvl w:val="0"/>
    </w:pPr>
    <w:rPr>
      <w:rFonts w:ascii="Arial" w:hAnsi="Arial" w:eastAsia="黑体" w:cs="Arial"/>
      <w:b/>
      <w:bCs/>
      <w:sz w:val="32"/>
      <w:szCs w:val="32"/>
    </w:rPr>
  </w:style>
  <w:style w:type="paragraph" w:styleId="27">
    <w:name w:val="annotation subject"/>
    <w:basedOn w:val="9"/>
    <w:next w:val="9"/>
    <w:link w:val="71"/>
    <w:qFormat/>
    <w:uiPriority w:val="0"/>
    <w:rPr>
      <w:b/>
      <w:bCs/>
    </w:rPr>
  </w:style>
  <w:style w:type="table" w:styleId="29">
    <w:name w:val="Table Grid"/>
    <w:basedOn w:val="2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1">
    <w:name w:val="Strong"/>
    <w:basedOn w:val="30"/>
    <w:qFormat/>
    <w:uiPriority w:val="0"/>
    <w:rPr>
      <w:b/>
    </w:rPr>
  </w:style>
  <w:style w:type="character" w:styleId="32">
    <w:name w:val="page number"/>
    <w:basedOn w:val="30"/>
    <w:qFormat/>
    <w:uiPriority w:val="0"/>
  </w:style>
  <w:style w:type="character" w:styleId="33">
    <w:name w:val="Hyperlink"/>
    <w:basedOn w:val="30"/>
    <w:qFormat/>
    <w:uiPriority w:val="0"/>
    <w:rPr>
      <w:color w:val="0000FF"/>
      <w:u w:val="single"/>
    </w:rPr>
  </w:style>
  <w:style w:type="character" w:styleId="34">
    <w:name w:val="annotation reference"/>
    <w:basedOn w:val="30"/>
    <w:qFormat/>
    <w:uiPriority w:val="0"/>
    <w:rPr>
      <w:sz w:val="21"/>
      <w:szCs w:val="21"/>
    </w:rPr>
  </w:style>
  <w:style w:type="paragraph" w:customStyle="1" w:styleId="35">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6">
    <w:name w:val="Default"/>
    <w:basedOn w:val="37"/>
    <w:next w:val="12"/>
    <w:qFormat/>
    <w:uiPriority w:val="0"/>
    <w:pPr>
      <w:autoSpaceDE w:val="0"/>
      <w:autoSpaceDN w:val="0"/>
      <w:adjustRightInd w:val="0"/>
    </w:pPr>
    <w:rPr>
      <w:rFonts w:ascii="宋体" w:cs="宋体"/>
      <w:sz w:val="24"/>
    </w:rPr>
  </w:style>
  <w:style w:type="paragraph" w:customStyle="1" w:styleId="37">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38">
    <w:name w:val="标题 1 字符"/>
    <w:link w:val="3"/>
    <w:qFormat/>
    <w:uiPriority w:val="0"/>
    <w:rPr>
      <w:rFonts w:eastAsia="黑体"/>
      <w:b/>
      <w:bCs/>
      <w:kern w:val="44"/>
      <w:sz w:val="32"/>
      <w:szCs w:val="44"/>
    </w:rPr>
  </w:style>
  <w:style w:type="paragraph" w:customStyle="1" w:styleId="39">
    <w:name w:val="Char Char Char"/>
    <w:basedOn w:val="1"/>
    <w:qFormat/>
    <w:uiPriority w:val="0"/>
  </w:style>
  <w:style w:type="paragraph" w:customStyle="1" w:styleId="40">
    <w:name w:val="_Style 2"/>
    <w:basedOn w:val="3"/>
    <w:next w:val="1"/>
    <w:qFormat/>
    <w:uiPriority w:val="0"/>
    <w:pPr>
      <w:widowControl/>
      <w:spacing w:before="480" w:line="276" w:lineRule="auto"/>
      <w:jc w:val="left"/>
      <w:outlineLvl w:val="9"/>
    </w:pPr>
    <w:rPr>
      <w:rFonts w:ascii="Cambria" w:hAnsi="Cambria" w:eastAsia="宋体"/>
      <w:color w:val="365F91"/>
      <w:kern w:val="0"/>
      <w:sz w:val="28"/>
      <w:szCs w:val="28"/>
    </w:rPr>
  </w:style>
  <w:style w:type="paragraph" w:customStyle="1" w:styleId="41">
    <w:name w:val="aa正文"/>
    <w:basedOn w:val="1"/>
    <w:qFormat/>
    <w:uiPriority w:val="0"/>
    <w:pPr>
      <w:ind w:firstLine="200" w:firstLineChars="200"/>
    </w:pPr>
  </w:style>
  <w:style w:type="paragraph" w:customStyle="1" w:styleId="42">
    <w:name w:val="文档正文"/>
    <w:basedOn w:val="1"/>
    <w:qFormat/>
    <w:uiPriority w:val="0"/>
    <w:pPr>
      <w:ind w:right="250" w:rightChars="119" w:firstLine="480" w:firstLineChars="200"/>
    </w:pPr>
    <w:rPr>
      <w:rFonts w:hAnsi="宋体"/>
      <w:sz w:val="24"/>
    </w:rPr>
  </w:style>
  <w:style w:type="character" w:customStyle="1" w:styleId="43">
    <w:name w:val="表头 Char Char Char"/>
    <w:basedOn w:val="30"/>
    <w:qFormat/>
    <w:uiPriority w:val="0"/>
    <w:rPr>
      <w:rFonts w:ascii="宋体" w:eastAsia="宋体"/>
      <w:snapToGrid w:val="0"/>
      <w:spacing w:val="6"/>
      <w:kern w:val="10"/>
      <w:sz w:val="24"/>
    </w:rPr>
  </w:style>
  <w:style w:type="paragraph" w:customStyle="1" w:styleId="44">
    <w:name w:val="p0"/>
    <w:basedOn w:val="1"/>
    <w:qFormat/>
    <w:uiPriority w:val="0"/>
    <w:pPr>
      <w:widowControl/>
    </w:pPr>
    <w:rPr>
      <w:kern w:val="0"/>
      <w:szCs w:val="21"/>
    </w:rPr>
  </w:style>
  <w:style w:type="character" w:customStyle="1" w:styleId="45">
    <w:name w:val="1 Char1"/>
    <w:qFormat/>
    <w:uiPriority w:val="0"/>
    <w:rPr>
      <w:rFonts w:ascii="Arial" w:hAnsi="Arial" w:eastAsia="黑体"/>
      <w:b/>
      <w:bCs/>
      <w:kern w:val="2"/>
      <w:sz w:val="32"/>
      <w:szCs w:val="32"/>
      <w:lang w:val="en-US" w:eastAsia="zh-CN" w:bidi="ar-SA"/>
    </w:rPr>
  </w:style>
  <w:style w:type="paragraph" w:customStyle="1" w:styleId="46">
    <w:name w:val="样式 标题 3条标题1.1.1 + 黑体"/>
    <w:basedOn w:val="5"/>
    <w:qFormat/>
    <w:uiPriority w:val="0"/>
    <w:pPr>
      <w:keepNext w:val="0"/>
      <w:keepLines w:val="0"/>
      <w:adjustRightInd w:val="0"/>
      <w:snapToGrid w:val="0"/>
      <w:jc w:val="left"/>
      <w:textAlignment w:val="baseline"/>
    </w:pPr>
    <w:rPr>
      <w:color w:val="000000"/>
      <w:kern w:val="0"/>
      <w:szCs w:val="28"/>
    </w:rPr>
  </w:style>
  <w:style w:type="paragraph" w:customStyle="1" w:styleId="47">
    <w:name w:val="表标题"/>
    <w:basedOn w:val="19"/>
    <w:qFormat/>
    <w:uiPriority w:val="0"/>
    <w:pPr>
      <w:spacing w:before="0" w:beforeAutospacing="0" w:after="0" w:afterAutospacing="0" w:line="560" w:lineRule="exact"/>
      <w:jc w:val="center"/>
    </w:pPr>
    <w:rPr>
      <w:rFonts w:ascii="Times New Roman" w:hAnsi="Times New Roman" w:eastAsia="仿宋"/>
      <w:b/>
      <w:bCs/>
      <w:sz w:val="28"/>
      <w:szCs w:val="18"/>
    </w:rPr>
  </w:style>
  <w:style w:type="paragraph" w:customStyle="1" w:styleId="48">
    <w:name w:val="表内容"/>
    <w:basedOn w:val="1"/>
    <w:qFormat/>
    <w:uiPriority w:val="99"/>
    <w:pPr>
      <w:jc w:val="center"/>
    </w:pPr>
    <w:rPr>
      <w:rFonts w:eastAsia="仿宋"/>
      <w:kern w:val="0"/>
      <w:sz w:val="24"/>
    </w:rPr>
  </w:style>
  <w:style w:type="character" w:customStyle="1" w:styleId="49">
    <w:name w:val="表头 Char Char"/>
    <w:basedOn w:val="30"/>
    <w:link w:val="50"/>
    <w:qFormat/>
    <w:uiPriority w:val="0"/>
    <w:rPr>
      <w:rFonts w:ascii="宋体"/>
      <w:snapToGrid w:val="0"/>
      <w:spacing w:val="6"/>
      <w:kern w:val="10"/>
      <w:sz w:val="24"/>
      <w:szCs w:val="20"/>
    </w:rPr>
  </w:style>
  <w:style w:type="paragraph" w:customStyle="1" w:styleId="50">
    <w:name w:val="表头"/>
    <w:basedOn w:val="1"/>
    <w:link w:val="49"/>
    <w:qFormat/>
    <w:uiPriority w:val="0"/>
    <w:pPr>
      <w:adjustRightInd w:val="0"/>
      <w:snapToGrid w:val="0"/>
      <w:jc w:val="center"/>
      <w:textAlignment w:val="baseline"/>
    </w:pPr>
    <w:rPr>
      <w:rFonts w:ascii="宋体"/>
      <w:snapToGrid w:val="0"/>
      <w:spacing w:val="6"/>
      <w:kern w:val="10"/>
      <w:sz w:val="24"/>
      <w:szCs w:val="20"/>
    </w:rPr>
  </w:style>
  <w:style w:type="paragraph" w:customStyle="1" w:styleId="51">
    <w:name w:val="正文表格"/>
    <w:qFormat/>
    <w:uiPriority w:val="0"/>
    <w:pPr>
      <w:keepNext/>
      <w:keepLines/>
      <w:overflowPunct w:val="0"/>
      <w:adjustRightInd w:val="0"/>
      <w:spacing w:before="80"/>
      <w:jc w:val="center"/>
      <w:textAlignment w:val="bottom"/>
    </w:pPr>
    <w:rPr>
      <w:rFonts w:ascii="Times New Roman" w:hAnsi="Times New Roman" w:eastAsia="宋体" w:cs="Times New Roman"/>
      <w:sz w:val="28"/>
      <w:lang w:val="en-US" w:eastAsia="zh-CN" w:bidi="ar-SA"/>
    </w:rPr>
  </w:style>
  <w:style w:type="character" w:customStyle="1" w:styleId="52">
    <w:name w:val="ttitle1"/>
    <w:basedOn w:val="30"/>
    <w:qFormat/>
    <w:uiPriority w:val="0"/>
    <w:rPr>
      <w:spacing w:val="120"/>
      <w:sz w:val="18"/>
      <w:szCs w:val="18"/>
    </w:rPr>
  </w:style>
  <w:style w:type="paragraph" w:customStyle="1" w:styleId="53">
    <w:name w:val="正文LXF"/>
    <w:basedOn w:val="1"/>
    <w:qFormat/>
    <w:uiPriority w:val="0"/>
    <w:pPr>
      <w:spacing w:line="580" w:lineRule="atLeast"/>
      <w:ind w:firstLine="200" w:firstLineChars="200"/>
    </w:pPr>
    <w:rPr>
      <w:szCs w:val="20"/>
    </w:rPr>
  </w:style>
  <w:style w:type="paragraph" w:customStyle="1" w:styleId="54">
    <w:name w:val="zw"/>
    <w:basedOn w:val="1"/>
    <w:qFormat/>
    <w:uiPriority w:val="0"/>
    <w:pPr>
      <w:widowControl/>
      <w:spacing w:before="100" w:beforeAutospacing="1" w:after="100" w:afterAutospacing="1" w:line="440" w:lineRule="atLeast"/>
      <w:jc w:val="left"/>
    </w:pPr>
    <w:rPr>
      <w:rFonts w:ascii="宋体" w:hAnsi="宋体" w:cs="宋体"/>
      <w:kern w:val="0"/>
      <w:sz w:val="22"/>
      <w:szCs w:val="22"/>
    </w:rPr>
  </w:style>
  <w:style w:type="character" w:customStyle="1" w:styleId="55">
    <w:name w:val="zw1"/>
    <w:basedOn w:val="30"/>
    <w:qFormat/>
    <w:uiPriority w:val="0"/>
    <w:rPr>
      <w:rFonts w:hint="eastAsia" w:ascii="宋体" w:hAnsi="宋体" w:eastAsia="宋体"/>
      <w:sz w:val="22"/>
      <w:szCs w:val="22"/>
    </w:rPr>
  </w:style>
  <w:style w:type="paragraph" w:customStyle="1" w:styleId="56">
    <w:name w:val="p17"/>
    <w:basedOn w:val="1"/>
    <w:qFormat/>
    <w:uiPriority w:val="0"/>
    <w:pPr>
      <w:widowControl/>
      <w:spacing w:line="560" w:lineRule="atLeast"/>
      <w:jc w:val="center"/>
    </w:pPr>
    <w:rPr>
      <w:b/>
      <w:bCs/>
      <w:kern w:val="0"/>
      <w:szCs w:val="28"/>
    </w:rPr>
  </w:style>
  <w:style w:type="paragraph" w:customStyle="1" w:styleId="57">
    <w:name w:val="p15"/>
    <w:basedOn w:val="1"/>
    <w:qFormat/>
    <w:uiPriority w:val="0"/>
    <w:pPr>
      <w:widowControl/>
      <w:jc w:val="center"/>
    </w:pPr>
    <w:rPr>
      <w:kern w:val="0"/>
      <w:sz w:val="24"/>
    </w:rPr>
  </w:style>
  <w:style w:type="character" w:customStyle="1" w:styleId="58">
    <w:name w:val="font41"/>
    <w:basedOn w:val="30"/>
    <w:qFormat/>
    <w:uiPriority w:val="0"/>
    <w:rPr>
      <w:rFonts w:hint="eastAsia" w:ascii="宋体" w:hAnsi="宋体" w:eastAsia="宋体" w:cs="宋体"/>
      <w:color w:val="000000"/>
      <w:sz w:val="22"/>
      <w:szCs w:val="22"/>
      <w:u w:val="none"/>
    </w:rPr>
  </w:style>
  <w:style w:type="character" w:customStyle="1" w:styleId="59">
    <w:name w:val="font21"/>
    <w:basedOn w:val="30"/>
    <w:qFormat/>
    <w:uiPriority w:val="0"/>
    <w:rPr>
      <w:rFonts w:hint="eastAsia" w:ascii="仿宋" w:hAnsi="仿宋" w:eastAsia="仿宋" w:cs="仿宋"/>
      <w:color w:val="000000"/>
      <w:sz w:val="22"/>
      <w:szCs w:val="22"/>
      <w:u w:val="none"/>
    </w:rPr>
  </w:style>
  <w:style w:type="paragraph" w:customStyle="1" w:styleId="60">
    <w:name w:val="CM17"/>
    <w:basedOn w:val="36"/>
    <w:next w:val="36"/>
    <w:semiHidden/>
    <w:qFormat/>
    <w:uiPriority w:val="0"/>
    <w:pPr>
      <w:spacing w:line="546" w:lineRule="atLeast"/>
    </w:pPr>
    <w:rPr>
      <w:rFonts w:hAnsi="宋体" w:cs="Times New Roman"/>
    </w:rPr>
  </w:style>
  <w:style w:type="paragraph" w:customStyle="1" w:styleId="61">
    <w:name w:val="CM13"/>
    <w:basedOn w:val="36"/>
    <w:next w:val="36"/>
    <w:semiHidden/>
    <w:qFormat/>
    <w:uiPriority w:val="0"/>
    <w:pPr>
      <w:spacing w:line="546" w:lineRule="atLeast"/>
    </w:pPr>
    <w:rPr>
      <w:rFonts w:hAnsi="宋体" w:cs="Times New Roman"/>
    </w:rPr>
  </w:style>
  <w:style w:type="paragraph" w:customStyle="1" w:styleId="62">
    <w:name w:val="样式7正文"/>
    <w:basedOn w:val="1"/>
    <w:qFormat/>
    <w:uiPriority w:val="0"/>
    <w:pPr>
      <w:ind w:firstLine="560" w:firstLineChars="200"/>
      <w:jc w:val="left"/>
    </w:pPr>
    <w:rPr>
      <w:rFonts w:ascii="宋体" w:hAnsi="宋体" w:cs="宋体"/>
      <w:szCs w:val="28"/>
    </w:rPr>
  </w:style>
  <w:style w:type="paragraph" w:customStyle="1" w:styleId="63">
    <w:name w:val="CM12"/>
    <w:basedOn w:val="1"/>
    <w:next w:val="1"/>
    <w:semiHidden/>
    <w:qFormat/>
    <w:uiPriority w:val="0"/>
    <w:pPr>
      <w:autoSpaceDE w:val="0"/>
      <w:autoSpaceDN w:val="0"/>
      <w:adjustRightInd w:val="0"/>
      <w:spacing w:line="546" w:lineRule="atLeast"/>
      <w:jc w:val="left"/>
    </w:pPr>
    <w:rPr>
      <w:rFonts w:ascii="宋体" w:hAnsi="宋体"/>
      <w:color w:val="000000"/>
      <w:kern w:val="0"/>
      <w:sz w:val="24"/>
    </w:rPr>
  </w:style>
  <w:style w:type="paragraph" w:customStyle="1" w:styleId="64">
    <w:name w:val="表格1（标题）"/>
    <w:basedOn w:val="1"/>
    <w:qFormat/>
    <w:uiPriority w:val="0"/>
    <w:pPr>
      <w:widowControl/>
      <w:suppressAutoHyphens/>
      <w:adjustRightInd w:val="0"/>
      <w:snapToGrid w:val="0"/>
      <w:jc w:val="center"/>
      <w:textAlignment w:val="center"/>
      <w:outlineLvl w:val="8"/>
    </w:pPr>
    <w:rPr>
      <w:rFonts w:cs="黑体"/>
      <w:b/>
      <w:bCs/>
      <w:color w:val="000000"/>
      <w:kern w:val="21"/>
      <w:sz w:val="24"/>
    </w:rPr>
  </w:style>
  <w:style w:type="paragraph" w:customStyle="1" w:styleId="65">
    <w:name w:val="列出段落1"/>
    <w:basedOn w:val="1"/>
    <w:qFormat/>
    <w:uiPriority w:val="0"/>
    <w:pPr>
      <w:widowControl/>
      <w:ind w:firstLine="420" w:firstLineChars="200"/>
      <w:jc w:val="left"/>
    </w:pPr>
    <w:rPr>
      <w:kern w:val="0"/>
      <w:sz w:val="24"/>
    </w:rPr>
  </w:style>
  <w:style w:type="paragraph" w:customStyle="1" w:styleId="66">
    <w:name w:val="表格"/>
    <w:basedOn w:val="1"/>
    <w:next w:val="1"/>
    <w:qFormat/>
    <w:uiPriority w:val="0"/>
    <w:pPr>
      <w:adjustRightInd w:val="0"/>
      <w:spacing w:line="312" w:lineRule="atLeast"/>
      <w:jc w:val="center"/>
    </w:pPr>
    <w:rPr>
      <w:kern w:val="0"/>
      <w:szCs w:val="20"/>
    </w:rPr>
  </w:style>
  <w:style w:type="paragraph" w:customStyle="1" w:styleId="67">
    <w:name w:val="表格内文字"/>
    <w:basedOn w:val="1"/>
    <w:qFormat/>
    <w:uiPriority w:val="0"/>
    <w:pPr>
      <w:pBdr>
        <w:top w:val="none" w:color="auto" w:sz="0" w:space="1"/>
        <w:left w:val="none" w:color="auto" w:sz="0" w:space="1"/>
        <w:bottom w:val="none" w:color="auto" w:sz="0" w:space="1"/>
        <w:right w:val="none" w:color="auto" w:sz="0" w:space="1"/>
      </w:pBdr>
      <w:tabs>
        <w:tab w:val="left" w:pos="0"/>
      </w:tabs>
      <w:adjustRightInd w:val="0"/>
      <w:snapToGrid w:val="0"/>
      <w:spacing w:line="320" w:lineRule="exact"/>
      <w:jc w:val="center"/>
    </w:pPr>
    <w:rPr>
      <w:kern w:val="21"/>
      <w:sz w:val="21"/>
    </w:rPr>
  </w:style>
  <w:style w:type="paragraph" w:customStyle="1" w:styleId="68">
    <w:name w:val="a9"/>
    <w:basedOn w:val="1"/>
    <w:qFormat/>
    <w:uiPriority w:val="0"/>
    <w:pPr>
      <w:widowControl/>
      <w:spacing w:before="100" w:beforeAutospacing="1" w:after="100" w:afterAutospacing="1"/>
      <w:jc w:val="left"/>
    </w:pPr>
    <w:rPr>
      <w:rFonts w:ascii="宋体" w:hAnsi="宋体" w:cs="宋体"/>
      <w:kern w:val="0"/>
      <w:sz w:val="24"/>
    </w:rPr>
  </w:style>
  <w:style w:type="paragraph" w:customStyle="1" w:styleId="69">
    <w:name w:val="xl24"/>
    <w:basedOn w:val="1"/>
    <w:qFormat/>
    <w:uiPriority w:val="0"/>
    <w:pPr>
      <w:widowControl/>
      <w:pBdr>
        <w:bottom w:val="single" w:color="auto" w:sz="4" w:space="0"/>
        <w:right w:val="single" w:color="auto" w:sz="4" w:space="0"/>
      </w:pBdr>
      <w:spacing w:before="100" w:after="100"/>
    </w:pPr>
    <w:rPr>
      <w:rFonts w:hint="eastAsia" w:ascii="宋体" w:hAnsi="宋体"/>
      <w:kern w:val="0"/>
      <w:szCs w:val="20"/>
    </w:rPr>
  </w:style>
  <w:style w:type="character" w:customStyle="1" w:styleId="70">
    <w:name w:val="批注文字 字符"/>
    <w:basedOn w:val="30"/>
    <w:link w:val="9"/>
    <w:qFormat/>
    <w:uiPriority w:val="0"/>
    <w:rPr>
      <w:kern w:val="2"/>
      <w:sz w:val="28"/>
      <w:szCs w:val="24"/>
    </w:rPr>
  </w:style>
  <w:style w:type="character" w:customStyle="1" w:styleId="71">
    <w:name w:val="批注主题 字符"/>
    <w:basedOn w:val="70"/>
    <w:link w:val="27"/>
    <w:qFormat/>
    <w:uiPriority w:val="0"/>
    <w:rPr>
      <w:b/>
      <w:bCs/>
      <w:kern w:val="2"/>
      <w:sz w:val="28"/>
      <w:szCs w:val="24"/>
    </w:rPr>
  </w:style>
  <w:style w:type="character" w:customStyle="1" w:styleId="72">
    <w:name w:val="批注框文本 字符"/>
    <w:basedOn w:val="30"/>
    <w:link w:val="17"/>
    <w:qFormat/>
    <w:uiPriority w:val="0"/>
    <w:rPr>
      <w:kern w:val="2"/>
      <w:sz w:val="18"/>
      <w:szCs w:val="18"/>
    </w:rPr>
  </w:style>
  <w:style w:type="character" w:customStyle="1" w:styleId="73">
    <w:name w:val="font51"/>
    <w:basedOn w:val="30"/>
    <w:qFormat/>
    <w:uiPriority w:val="0"/>
    <w:rPr>
      <w:rFonts w:hint="default" w:ascii="等线" w:hAnsi="等线" w:eastAsia="等线" w:cs="等线"/>
      <w:color w:val="000000"/>
      <w:sz w:val="22"/>
      <w:szCs w:val="22"/>
      <w:u w:val="none"/>
    </w:rPr>
  </w:style>
  <w:style w:type="table" w:customStyle="1" w:styleId="74">
    <w:name w:val="Table Normal"/>
    <w:semiHidden/>
    <w:unhideWhenUsed/>
    <w:qFormat/>
    <w:uiPriority w:val="0"/>
    <w:tblPr>
      <w:tblCellMar>
        <w:top w:w="0" w:type="dxa"/>
        <w:left w:w="0" w:type="dxa"/>
        <w:bottom w:w="0" w:type="dxa"/>
        <w:right w:w="0" w:type="dxa"/>
      </w:tblCellMar>
    </w:tblPr>
  </w:style>
  <w:style w:type="paragraph" w:customStyle="1" w:styleId="75">
    <w:name w:val="修订1"/>
    <w:hidden/>
    <w:semiHidden/>
    <w:qFormat/>
    <w:uiPriority w:val="99"/>
    <w:rPr>
      <w:rFonts w:ascii="Times New Roman" w:hAnsi="Times New Roman"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871D5C-326F-406B-9285-B4D94BC88D6D}">
  <ds:schemaRefs/>
</ds:datastoreItem>
</file>

<file path=docProps/app.xml><?xml version="1.0" encoding="utf-8"?>
<Properties xmlns="http://schemas.openxmlformats.org/officeDocument/2006/extended-properties" xmlns:vt="http://schemas.openxmlformats.org/officeDocument/2006/docPropsVTypes">
  <Template>Normal</Template>
  <Pages>86</Pages>
  <Words>43608</Words>
  <Characters>48252</Characters>
  <Lines>402</Lines>
  <Paragraphs>113</Paragraphs>
  <TotalTime>1</TotalTime>
  <ScaleCrop>false</ScaleCrop>
  <LinksUpToDate>false</LinksUpToDate>
  <CharactersWithSpaces>48748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2021-09-07T02:28:00Z</dcterms:created>
  <dc:creator>不简单的简单</dc:creator>
  <cp:lastModifiedBy>杜先生</cp:lastModifiedBy>
  <cp:lastPrinted>2022-07-27T07:00:00Z</cp:lastPrinted>
  <dcterms:modified xsi:type="dcterms:W3CDTF">2022-08-03T08:35:14Z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3CA725C54C64456ABC81220F991B4876</vt:lpwstr>
  </property>
</Properties>
</file>